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Default="003129E8" w:rsidP="00DD6B5E">
      <w:pPr>
        <w:jc w:val="right"/>
        <w:rPr>
          <w:rFonts w:cs="Arial"/>
          <w:b/>
          <w:color w:val="FF0000"/>
          <w:sz w:val="48"/>
          <w:szCs w:val="48"/>
        </w:rPr>
      </w:pPr>
      <w:bookmarkStart w:id="0" w:name="_Toc153189646"/>
      <w:r w:rsidRPr="002E0043">
        <w:rPr>
          <w:rFonts w:cs="Arial"/>
          <w:b/>
          <w:sz w:val="48"/>
          <w:szCs w:val="48"/>
        </w:rPr>
        <w:t xml:space="preserve">Work Paper </w:t>
      </w:r>
      <w:bookmarkEnd w:id="0"/>
      <w:r w:rsidR="00480C7E" w:rsidRPr="004203DD">
        <w:rPr>
          <w:rFonts w:cs="Arial"/>
          <w:b/>
          <w:sz w:val="48"/>
          <w:szCs w:val="48"/>
        </w:rPr>
        <w:t>PGE</w:t>
      </w:r>
      <w:r w:rsidR="003F2817" w:rsidRPr="004203DD">
        <w:rPr>
          <w:rFonts w:cs="Arial"/>
          <w:b/>
          <w:sz w:val="48"/>
          <w:szCs w:val="48"/>
        </w:rPr>
        <w:t>COLTG</w:t>
      </w:r>
      <w:r w:rsidR="0012056F">
        <w:rPr>
          <w:rFonts w:cs="Arial"/>
          <w:b/>
          <w:sz w:val="48"/>
          <w:szCs w:val="48"/>
        </w:rPr>
        <w:t>174</w:t>
      </w:r>
    </w:p>
    <w:p w:rsidR="00855AA4" w:rsidRPr="004464AA" w:rsidRDefault="00F10A99" w:rsidP="00855AA4">
      <w:pPr>
        <w:jc w:val="right"/>
        <w:rPr>
          <w:rFonts w:cs="Arial"/>
          <w:b/>
          <w:sz w:val="48"/>
          <w:szCs w:val="48"/>
        </w:rPr>
      </w:pPr>
      <w:r>
        <w:rPr>
          <w:rFonts w:cs="Arial"/>
          <w:b/>
          <w:color w:val="FF0000"/>
          <w:sz w:val="48"/>
          <w:szCs w:val="48"/>
        </w:rPr>
        <w:t xml:space="preserve"> </w:t>
      </w:r>
      <w:r w:rsidR="00855AA4">
        <w:rPr>
          <w:rFonts w:cs="Arial"/>
          <w:b/>
          <w:sz w:val="48"/>
          <w:szCs w:val="48"/>
        </w:rPr>
        <w:t>LED Refrigerat</w:t>
      </w:r>
      <w:r w:rsidR="00F95E7F">
        <w:rPr>
          <w:rFonts w:cs="Arial"/>
          <w:b/>
          <w:sz w:val="48"/>
          <w:szCs w:val="48"/>
        </w:rPr>
        <w:t>ion</w:t>
      </w:r>
      <w:r w:rsidR="0075532A">
        <w:rPr>
          <w:rFonts w:cs="Arial"/>
          <w:b/>
          <w:sz w:val="48"/>
          <w:szCs w:val="48"/>
        </w:rPr>
        <w:t xml:space="preserve"> Case Lighting</w:t>
      </w:r>
    </w:p>
    <w:p w:rsidR="003129E8" w:rsidRPr="004464AA" w:rsidRDefault="003129E8" w:rsidP="002E0043">
      <w:pPr>
        <w:jc w:val="right"/>
        <w:rPr>
          <w:rFonts w:cs="Arial"/>
          <w:b/>
          <w:sz w:val="48"/>
          <w:szCs w:val="48"/>
        </w:rPr>
      </w:pPr>
      <w:bookmarkStart w:id="1" w:name="_Toc153189647"/>
      <w:r w:rsidRPr="004464AA">
        <w:rPr>
          <w:rFonts w:cs="Arial"/>
          <w:b/>
          <w:sz w:val="48"/>
          <w:szCs w:val="48"/>
        </w:rPr>
        <w:t xml:space="preserve">Revision </w:t>
      </w:r>
      <w:bookmarkEnd w:id="1"/>
      <w:r w:rsidR="00DD3011">
        <w:rPr>
          <w:rFonts w:cs="Arial"/>
          <w:b/>
          <w:sz w:val="48"/>
          <w:szCs w:val="48"/>
        </w:rPr>
        <w:t>2</w:t>
      </w:r>
    </w:p>
    <w:p w:rsidR="003129E8" w:rsidRDefault="003129E8" w:rsidP="003129E8"/>
    <w:p w:rsidR="00DD3011" w:rsidRDefault="00DD3011" w:rsidP="003129E8"/>
    <w:p w:rsidR="00DD3011" w:rsidRDefault="00DD3011" w:rsidP="003129E8"/>
    <w:p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rsidR="00D7047A" w:rsidRPr="002E0043" w:rsidRDefault="00661864" w:rsidP="00D7047A">
      <w:pPr>
        <w:rPr>
          <w:rFonts w:cs="Arial"/>
          <w:b/>
          <w:sz w:val="32"/>
          <w:szCs w:val="32"/>
        </w:rPr>
      </w:pPr>
      <w:r>
        <w:rPr>
          <w:rFonts w:cs="Arial"/>
          <w:b/>
          <w:sz w:val="32"/>
          <w:szCs w:val="32"/>
        </w:rPr>
        <w:t xml:space="preserve">Customer Energy Solutions </w:t>
      </w:r>
    </w:p>
    <w:p w:rsidR="004D0E10" w:rsidRDefault="004D0E10" w:rsidP="00A167EC">
      <w:pPr>
        <w:ind w:right="-720"/>
        <w:rPr>
          <w:rFonts w:cs="Arial"/>
          <w:b/>
          <w:sz w:val="72"/>
          <w:szCs w:val="72"/>
        </w:rPr>
      </w:pPr>
    </w:p>
    <w:p w:rsidR="004D0E10" w:rsidRDefault="004D0E10" w:rsidP="00A167EC">
      <w:pPr>
        <w:ind w:right="-720"/>
        <w:rPr>
          <w:rFonts w:cs="Arial"/>
          <w:b/>
          <w:sz w:val="72"/>
          <w:szCs w:val="72"/>
        </w:rPr>
      </w:pPr>
    </w:p>
    <w:p w:rsidR="004D0E10" w:rsidRDefault="004D0E10" w:rsidP="00A167EC">
      <w:pPr>
        <w:ind w:right="-720"/>
        <w:rPr>
          <w:rFonts w:cs="Arial"/>
          <w:b/>
          <w:sz w:val="72"/>
          <w:szCs w:val="72"/>
        </w:rPr>
      </w:pPr>
    </w:p>
    <w:p w:rsidR="005325A5" w:rsidRPr="002C609E" w:rsidRDefault="008574FC" w:rsidP="008574FC">
      <w:pPr>
        <w:rPr>
          <w:rFonts w:cs="Arial"/>
          <w:b/>
          <w:sz w:val="72"/>
          <w:szCs w:val="72"/>
        </w:rPr>
      </w:pPr>
      <w:r w:rsidRPr="002C609E">
        <w:rPr>
          <w:rFonts w:cs="Arial"/>
          <w:b/>
          <w:sz w:val="72"/>
          <w:szCs w:val="72"/>
        </w:rPr>
        <w:t xml:space="preserve">LED </w:t>
      </w:r>
      <w:r w:rsidR="009412B3" w:rsidRPr="002C609E">
        <w:rPr>
          <w:rFonts w:cs="Arial"/>
          <w:b/>
          <w:sz w:val="72"/>
          <w:szCs w:val="72"/>
        </w:rPr>
        <w:t>Refrigerat</w:t>
      </w:r>
      <w:r w:rsidR="009412B3">
        <w:rPr>
          <w:rFonts w:cs="Arial"/>
          <w:b/>
          <w:sz w:val="72"/>
          <w:szCs w:val="72"/>
        </w:rPr>
        <w:t>ion</w:t>
      </w:r>
      <w:r w:rsidR="009412B3" w:rsidRPr="002C609E">
        <w:rPr>
          <w:rFonts w:cs="Arial"/>
          <w:b/>
          <w:sz w:val="72"/>
          <w:szCs w:val="72"/>
        </w:rPr>
        <w:t xml:space="preserve"> </w:t>
      </w:r>
      <w:r w:rsidRPr="002C609E">
        <w:rPr>
          <w:rFonts w:cs="Arial"/>
          <w:b/>
          <w:sz w:val="72"/>
          <w:szCs w:val="72"/>
        </w:rPr>
        <w:t>Case Lighting</w:t>
      </w:r>
    </w:p>
    <w:p w:rsidR="00CB3583" w:rsidRDefault="00A167EC" w:rsidP="008D5263">
      <w:pPr>
        <w:ind w:right="-720"/>
        <w:rPr>
          <w:rFonts w:cs="Arial"/>
          <w:b/>
          <w:highlight w:val="cyan"/>
        </w:rPr>
      </w:pPr>
      <w:r w:rsidRPr="00CB3583">
        <w:rPr>
          <w:rFonts w:cs="Arial"/>
          <w:b/>
        </w:rPr>
        <w:t>Measure Codes</w:t>
      </w:r>
      <w:r w:rsidRPr="00CB3583">
        <w:rPr>
          <w:rFonts w:cs="Arial"/>
          <w:b/>
          <w:color w:val="FF0000"/>
        </w:rPr>
        <w:t xml:space="preserve"> </w:t>
      </w:r>
      <w:r w:rsidR="00FC2B39">
        <w:rPr>
          <w:rFonts w:cs="Arial"/>
          <w:b/>
        </w:rPr>
        <w:t>LB03, LB05, LB07, LB09, LB11, LB13, LC01, LC03, LC05, LC07, LC09, LC11, LC13, LC15</w:t>
      </w:r>
    </w:p>
    <w:p w:rsidR="00E71EF1" w:rsidRDefault="00C93E64" w:rsidP="00E71EF1">
      <w:pPr>
        <w:pStyle w:val="Heading1"/>
      </w:pPr>
      <w:r>
        <w:br w:type="page"/>
      </w:r>
      <w:bookmarkStart w:id="2" w:name="_Toc437853340"/>
      <w:r w:rsidR="00E731C6">
        <w:lastRenderedPageBreak/>
        <w:t>At-</w:t>
      </w:r>
      <w:r w:rsidR="00E71EF1">
        <w:t>a</w:t>
      </w:r>
      <w:r w:rsidR="00E731C6">
        <w:t>-</w:t>
      </w:r>
      <w:r w:rsidR="00E71EF1">
        <w:t>Glance Summary</w:t>
      </w:r>
      <w:bookmarkEnd w:id="2"/>
    </w:p>
    <w:tbl>
      <w:tblPr>
        <w:tblW w:w="9828" w:type="dxa"/>
        <w:tblBorders>
          <w:insideH w:val="single" w:sz="18" w:space="0" w:color="FFFFFF"/>
          <w:insideV w:val="single" w:sz="18" w:space="0" w:color="FFFFFF"/>
        </w:tblBorders>
        <w:tblLayout w:type="fixed"/>
        <w:tblLook w:val="01E0" w:firstRow="1" w:lastRow="1" w:firstColumn="1" w:lastColumn="1" w:noHBand="0" w:noVBand="0"/>
      </w:tblPr>
      <w:tblGrid>
        <w:gridCol w:w="3732"/>
        <w:gridCol w:w="6096"/>
      </w:tblGrid>
      <w:tr w:rsidR="001E1741" w:rsidRPr="002F44EE" w:rsidTr="00D02719">
        <w:trPr>
          <w:trHeight w:val="465"/>
        </w:trPr>
        <w:tc>
          <w:tcPr>
            <w:tcW w:w="3732" w:type="dxa"/>
            <w:shd w:val="pct20" w:color="000000" w:fill="FFFFFF"/>
          </w:tcPr>
          <w:p w:rsidR="001E1741" w:rsidRPr="002F44EE" w:rsidRDefault="001E1741" w:rsidP="00D02719">
            <w:pPr>
              <w:rPr>
                <w:b/>
                <w:bCs/>
              </w:rPr>
            </w:pPr>
            <w:r w:rsidRPr="002F44EE">
              <w:rPr>
                <w:b/>
                <w:bCs/>
              </w:rPr>
              <w:t>Applicable Measure Codes:</w:t>
            </w:r>
          </w:p>
        </w:tc>
        <w:tc>
          <w:tcPr>
            <w:tcW w:w="6096" w:type="dxa"/>
            <w:shd w:val="pct20" w:color="000000" w:fill="FFFFFF"/>
            <w:vAlign w:val="center"/>
          </w:tcPr>
          <w:p w:rsidR="001E1741" w:rsidRPr="00FC2B39" w:rsidRDefault="00FC2B39" w:rsidP="008D5263">
            <w:pPr>
              <w:rPr>
                <w:szCs w:val="20"/>
              </w:rPr>
            </w:pPr>
            <w:r w:rsidRPr="00FC2B39">
              <w:rPr>
                <w:szCs w:val="20"/>
              </w:rPr>
              <w:t>LB03, LB05, LB07, LB09, LB11, LB13, LC01, LC03, LC05, LC07, LC09, LC11, LC13, LC15</w:t>
            </w:r>
          </w:p>
        </w:tc>
      </w:tr>
      <w:tr w:rsidR="001E1741" w:rsidRPr="002F44EE" w:rsidTr="00D02719">
        <w:trPr>
          <w:trHeight w:val="465"/>
        </w:trPr>
        <w:tc>
          <w:tcPr>
            <w:tcW w:w="3732" w:type="dxa"/>
            <w:shd w:val="pct5" w:color="000000" w:fill="FFFFFF"/>
          </w:tcPr>
          <w:p w:rsidR="001E1741" w:rsidRPr="002F44EE" w:rsidRDefault="001E1741" w:rsidP="00D02719">
            <w:pPr>
              <w:rPr>
                <w:b/>
              </w:rPr>
            </w:pPr>
            <w:r w:rsidRPr="002F44EE">
              <w:rPr>
                <w:b/>
              </w:rPr>
              <w:t xml:space="preserve">Measure Description: </w:t>
            </w:r>
          </w:p>
        </w:tc>
        <w:tc>
          <w:tcPr>
            <w:tcW w:w="6096" w:type="dxa"/>
            <w:shd w:val="pct5" w:color="000000" w:fill="FFFFFF"/>
            <w:vAlign w:val="center"/>
          </w:tcPr>
          <w:p w:rsidR="001E1741" w:rsidRPr="002F44EE" w:rsidRDefault="001E1741" w:rsidP="00FC2B39">
            <w:pPr>
              <w:rPr>
                <w:szCs w:val="20"/>
              </w:rPr>
            </w:pPr>
            <w:r>
              <w:rPr>
                <w:szCs w:val="20"/>
              </w:rPr>
              <w:t>LED light bars replacing single or multiple lamp fluorescent profiles in refrigerated display cases; without occupancy sensors</w:t>
            </w:r>
            <w:r w:rsidR="002C609E">
              <w:rPr>
                <w:szCs w:val="20"/>
              </w:rPr>
              <w:t>; Tiers 1 through 4</w:t>
            </w:r>
          </w:p>
        </w:tc>
      </w:tr>
      <w:tr w:rsidR="001E1741" w:rsidRPr="002F44EE" w:rsidTr="00D02719">
        <w:trPr>
          <w:trHeight w:val="342"/>
        </w:trPr>
        <w:tc>
          <w:tcPr>
            <w:tcW w:w="3732" w:type="dxa"/>
            <w:shd w:val="pct20" w:color="000000" w:fill="FFFFFF"/>
          </w:tcPr>
          <w:p w:rsidR="001E1741" w:rsidRPr="002F44EE" w:rsidRDefault="001E1741" w:rsidP="00D02719">
            <w:pPr>
              <w:rPr>
                <w:b/>
              </w:rPr>
            </w:pPr>
            <w:r w:rsidRPr="002F44EE">
              <w:rPr>
                <w:b/>
              </w:rPr>
              <w:t xml:space="preserve">Energy Impact Common Units: </w:t>
            </w:r>
          </w:p>
        </w:tc>
        <w:tc>
          <w:tcPr>
            <w:tcW w:w="6096" w:type="dxa"/>
            <w:shd w:val="pct20" w:color="000000" w:fill="FFFFFF"/>
            <w:vAlign w:val="center"/>
          </w:tcPr>
          <w:p w:rsidR="001E1741" w:rsidRPr="002F44EE" w:rsidRDefault="001E1741" w:rsidP="0075532A">
            <w:pPr>
              <w:rPr>
                <w:szCs w:val="20"/>
              </w:rPr>
            </w:pPr>
            <w:r>
              <w:rPr>
                <w:szCs w:val="20"/>
              </w:rPr>
              <w:t>Per lin</w:t>
            </w:r>
            <w:r w:rsidR="002C609E">
              <w:rPr>
                <w:szCs w:val="20"/>
              </w:rPr>
              <w:t>ear foot</w:t>
            </w:r>
          </w:p>
        </w:tc>
      </w:tr>
      <w:tr w:rsidR="001E1741" w:rsidRPr="002F44EE" w:rsidTr="00D02719">
        <w:trPr>
          <w:trHeight w:val="465"/>
        </w:trPr>
        <w:tc>
          <w:tcPr>
            <w:tcW w:w="3732" w:type="dxa"/>
            <w:shd w:val="pct5" w:color="000000" w:fill="FFFFFF"/>
          </w:tcPr>
          <w:p w:rsidR="001E1741" w:rsidRPr="002F44EE" w:rsidRDefault="001E1741" w:rsidP="00D02719">
            <w:pPr>
              <w:rPr>
                <w:b/>
              </w:rPr>
            </w:pPr>
            <w:r w:rsidRPr="002F44EE">
              <w:rPr>
                <w:b/>
              </w:rPr>
              <w:t>Base Case</w:t>
            </w:r>
            <w:r w:rsidRPr="002F44EE">
              <w:rPr>
                <w:b/>
              </w:rPr>
              <w:fldChar w:fldCharType="begin"/>
            </w:r>
            <w:r w:rsidRPr="002F44EE">
              <w:instrText xml:space="preserve"> XE "</w:instrText>
            </w:r>
            <w:r w:rsidRPr="002F44EE">
              <w:rPr>
                <w:b/>
              </w:rPr>
              <w:instrText>Base Case</w:instrText>
            </w:r>
            <w:r w:rsidRPr="002F44EE">
              <w:instrText xml:space="preserve">" </w:instrText>
            </w:r>
            <w:r w:rsidRPr="002F44EE">
              <w:rPr>
                <w:b/>
              </w:rPr>
              <w:fldChar w:fldCharType="end"/>
            </w:r>
            <w:r w:rsidRPr="002F44EE">
              <w:rPr>
                <w:b/>
              </w:rPr>
              <w:t xml:space="preserve"> Description: </w:t>
            </w:r>
          </w:p>
          <w:p w:rsidR="001E1741" w:rsidRPr="002F44EE" w:rsidRDefault="001E1741" w:rsidP="00D02719">
            <w:pPr>
              <w:rPr>
                <w:szCs w:val="20"/>
              </w:rPr>
            </w:pPr>
          </w:p>
        </w:tc>
        <w:tc>
          <w:tcPr>
            <w:tcW w:w="6096" w:type="dxa"/>
            <w:shd w:val="pct5" w:color="000000" w:fill="FFFFFF"/>
            <w:vAlign w:val="center"/>
          </w:tcPr>
          <w:p w:rsidR="001E1741" w:rsidRPr="002F44EE" w:rsidRDefault="001E1741" w:rsidP="006A22B3">
            <w:pPr>
              <w:rPr>
                <w:szCs w:val="20"/>
              </w:rPr>
            </w:pPr>
            <w:r>
              <w:rPr>
                <w:szCs w:val="20"/>
              </w:rPr>
              <w:t xml:space="preserve">Linear </w:t>
            </w:r>
            <w:r w:rsidR="00EB6A7F">
              <w:rPr>
                <w:szCs w:val="20"/>
              </w:rPr>
              <w:t>f</w:t>
            </w:r>
            <w:r>
              <w:rPr>
                <w:szCs w:val="20"/>
              </w:rPr>
              <w:t>luorescent lighting i</w:t>
            </w:r>
            <w:r w:rsidR="00EB6A7F">
              <w:rPr>
                <w:szCs w:val="20"/>
              </w:rPr>
              <w:t>n refrigerated  cases: &lt;=5 foot T8</w:t>
            </w:r>
            <w:r>
              <w:rPr>
                <w:szCs w:val="20"/>
              </w:rPr>
              <w:t xml:space="preserve"> </w:t>
            </w:r>
            <w:r w:rsidR="00CF6FA6">
              <w:rPr>
                <w:szCs w:val="20"/>
              </w:rPr>
              <w:t>Normal Output</w:t>
            </w:r>
            <w:r w:rsidR="00AB4941">
              <w:rPr>
                <w:szCs w:val="20"/>
              </w:rPr>
              <w:t>;</w:t>
            </w:r>
            <w:r w:rsidR="00CF6FA6">
              <w:rPr>
                <w:szCs w:val="20"/>
              </w:rPr>
              <w:t xml:space="preserve"> </w:t>
            </w:r>
            <w:r>
              <w:rPr>
                <w:szCs w:val="20"/>
              </w:rPr>
              <w:t xml:space="preserve">or </w:t>
            </w:r>
            <w:r w:rsidR="00EB6A7F">
              <w:rPr>
                <w:szCs w:val="20"/>
              </w:rPr>
              <w:t xml:space="preserve">&gt; 5 foot </w:t>
            </w:r>
            <w:r>
              <w:rPr>
                <w:szCs w:val="20"/>
              </w:rPr>
              <w:t>T12</w:t>
            </w:r>
            <w:r w:rsidR="00CF6FA6">
              <w:rPr>
                <w:szCs w:val="20"/>
              </w:rPr>
              <w:t xml:space="preserve"> High Output</w:t>
            </w:r>
          </w:p>
        </w:tc>
      </w:tr>
      <w:tr w:rsidR="001E1741" w:rsidRPr="002F44EE" w:rsidTr="00D02719">
        <w:trPr>
          <w:trHeight w:val="465"/>
        </w:trPr>
        <w:tc>
          <w:tcPr>
            <w:tcW w:w="3732" w:type="dxa"/>
            <w:shd w:val="pct20" w:color="000000" w:fill="FFFFFF"/>
          </w:tcPr>
          <w:p w:rsidR="001E1741" w:rsidRPr="002F44EE" w:rsidRDefault="001E1741" w:rsidP="00D02719">
            <w:pPr>
              <w:rPr>
                <w:b/>
              </w:rPr>
            </w:pPr>
            <w:r w:rsidRPr="002F44EE">
              <w:rPr>
                <w:b/>
              </w:rPr>
              <w:t>Base Case</w:t>
            </w:r>
            <w:r w:rsidRPr="002F44EE">
              <w:rPr>
                <w:b/>
              </w:rPr>
              <w:fldChar w:fldCharType="begin"/>
            </w:r>
            <w:r w:rsidRPr="002F44EE">
              <w:instrText xml:space="preserve"> XE "</w:instrText>
            </w:r>
            <w:r w:rsidRPr="002F44EE">
              <w:rPr>
                <w:b/>
              </w:rPr>
              <w:instrText>Base Case</w:instrText>
            </w:r>
            <w:r w:rsidRPr="002F44EE">
              <w:instrText xml:space="preserve">" </w:instrText>
            </w:r>
            <w:r w:rsidRPr="002F44EE">
              <w:rPr>
                <w:b/>
              </w:rPr>
              <w:fldChar w:fldCharType="end"/>
            </w:r>
            <w:r w:rsidRPr="002F44EE">
              <w:rPr>
                <w:b/>
              </w:rPr>
              <w:t xml:space="preserve"> Energy Consumption: </w:t>
            </w:r>
          </w:p>
          <w:p w:rsidR="001E1741" w:rsidRPr="002F44EE" w:rsidRDefault="001E1741" w:rsidP="00D02719">
            <w:pPr>
              <w:rPr>
                <w:b/>
              </w:rPr>
            </w:pPr>
          </w:p>
        </w:tc>
        <w:tc>
          <w:tcPr>
            <w:tcW w:w="6096" w:type="dxa"/>
            <w:shd w:val="pct20" w:color="000000" w:fill="FFFFFF"/>
            <w:vAlign w:val="center"/>
          </w:tcPr>
          <w:p w:rsidR="001E1741" w:rsidRDefault="0075532A" w:rsidP="006A22B3">
            <w:pPr>
              <w:rPr>
                <w:szCs w:val="20"/>
              </w:rPr>
            </w:pPr>
            <w:r>
              <w:rPr>
                <w:szCs w:val="20"/>
              </w:rPr>
              <w:t>Various</w:t>
            </w:r>
            <w:r w:rsidR="00EB6A7F">
              <w:rPr>
                <w:szCs w:val="20"/>
              </w:rPr>
              <w:t>,</w:t>
            </w:r>
            <w:r w:rsidR="001E1741">
              <w:rPr>
                <w:szCs w:val="20"/>
              </w:rPr>
              <w:t xml:space="preserve"> </w:t>
            </w:r>
            <w:r w:rsidR="00EB6A7F">
              <w:rPr>
                <w:szCs w:val="20"/>
              </w:rPr>
              <w:t>per existing lamp configuration</w:t>
            </w:r>
            <w:r w:rsidR="00E634C0">
              <w:rPr>
                <w:szCs w:val="20"/>
              </w:rPr>
              <w:t xml:space="preserve"> and per linear foot</w:t>
            </w:r>
          </w:p>
          <w:p w:rsidR="00365453" w:rsidRPr="002F44EE" w:rsidRDefault="00365453" w:rsidP="006A22B3">
            <w:pPr>
              <w:rPr>
                <w:szCs w:val="20"/>
              </w:rPr>
            </w:pPr>
            <w:r w:rsidRPr="002F44EE">
              <w:rPr>
                <w:szCs w:val="20"/>
              </w:rPr>
              <w:t>Source: PG&amp;E calculations</w:t>
            </w:r>
          </w:p>
        </w:tc>
      </w:tr>
      <w:tr w:rsidR="001E1741" w:rsidRPr="002F44EE" w:rsidTr="00D02719">
        <w:trPr>
          <w:trHeight w:val="465"/>
        </w:trPr>
        <w:tc>
          <w:tcPr>
            <w:tcW w:w="3732" w:type="dxa"/>
            <w:shd w:val="pct5" w:color="000000" w:fill="FFFFFF"/>
          </w:tcPr>
          <w:p w:rsidR="001E1741" w:rsidRPr="002F44EE" w:rsidRDefault="001E1741" w:rsidP="00D02719">
            <w:pPr>
              <w:rPr>
                <w:b/>
              </w:rPr>
            </w:pPr>
            <w:r w:rsidRPr="002F44EE">
              <w:rPr>
                <w:b/>
              </w:rPr>
              <w:t>Measure Energy Consumption:</w:t>
            </w:r>
          </w:p>
          <w:p w:rsidR="001E1741" w:rsidRPr="002F44EE" w:rsidRDefault="001E1741" w:rsidP="00D02719">
            <w:pPr>
              <w:rPr>
                <w:b/>
              </w:rPr>
            </w:pPr>
            <w:r w:rsidRPr="002F44EE">
              <w:rPr>
                <w:szCs w:val="20"/>
              </w:rPr>
              <w:t>Source: PG&amp;E calculations</w:t>
            </w:r>
          </w:p>
        </w:tc>
        <w:tc>
          <w:tcPr>
            <w:tcW w:w="6096" w:type="dxa"/>
            <w:shd w:val="pct5" w:color="000000" w:fill="FFFFFF"/>
            <w:vAlign w:val="center"/>
          </w:tcPr>
          <w:p w:rsidR="001E1741" w:rsidRDefault="0075532A" w:rsidP="006A22B3">
            <w:pPr>
              <w:rPr>
                <w:szCs w:val="20"/>
              </w:rPr>
            </w:pPr>
            <w:r>
              <w:rPr>
                <w:szCs w:val="20"/>
              </w:rPr>
              <w:t>Various</w:t>
            </w:r>
            <w:r w:rsidR="00E634C0">
              <w:rPr>
                <w:szCs w:val="20"/>
              </w:rPr>
              <w:t>, per-linear foot and controls</w:t>
            </w:r>
          </w:p>
          <w:p w:rsidR="00365453" w:rsidRPr="002F44EE" w:rsidRDefault="00365453" w:rsidP="006A22B3">
            <w:pPr>
              <w:rPr>
                <w:szCs w:val="20"/>
              </w:rPr>
            </w:pPr>
            <w:r w:rsidRPr="002F44EE">
              <w:rPr>
                <w:szCs w:val="20"/>
              </w:rPr>
              <w:t>Source: PG&amp;E calculations</w:t>
            </w:r>
          </w:p>
        </w:tc>
      </w:tr>
      <w:tr w:rsidR="001E1741" w:rsidRPr="002F44EE" w:rsidTr="00D02719">
        <w:trPr>
          <w:trHeight w:val="465"/>
        </w:trPr>
        <w:tc>
          <w:tcPr>
            <w:tcW w:w="3732" w:type="dxa"/>
            <w:shd w:val="pct20" w:color="000000" w:fill="FFFFFF"/>
          </w:tcPr>
          <w:p w:rsidR="001E1741" w:rsidRPr="002F44EE" w:rsidRDefault="001E1741" w:rsidP="00365453">
            <w:pPr>
              <w:rPr>
                <w:szCs w:val="20"/>
              </w:rPr>
            </w:pPr>
            <w:r w:rsidRPr="002F44EE">
              <w:rPr>
                <w:b/>
              </w:rPr>
              <w:t>Energy Savings</w:t>
            </w:r>
            <w:r w:rsidRPr="002F44EE">
              <w:rPr>
                <w:b/>
              </w:rPr>
              <w:fldChar w:fldCharType="begin"/>
            </w:r>
            <w:r w:rsidRPr="002F44EE">
              <w:instrText xml:space="preserve"> XE "</w:instrText>
            </w:r>
            <w:r w:rsidRPr="002F44EE">
              <w:rPr>
                <w:b/>
              </w:rPr>
              <w:instrText>Energy Savings</w:instrText>
            </w:r>
            <w:r w:rsidRPr="002F44EE">
              <w:instrText xml:space="preserve">" </w:instrText>
            </w:r>
            <w:r w:rsidRPr="002F44EE">
              <w:rPr>
                <w:b/>
              </w:rPr>
              <w:fldChar w:fldCharType="end"/>
            </w:r>
            <w:r w:rsidRPr="002F44EE">
              <w:rPr>
                <w:b/>
              </w:rPr>
              <w:t xml:space="preserve"> (Base Case</w:t>
            </w:r>
            <w:r w:rsidRPr="002F44EE">
              <w:rPr>
                <w:b/>
              </w:rPr>
              <w:fldChar w:fldCharType="begin"/>
            </w:r>
            <w:r w:rsidRPr="002F44EE">
              <w:instrText xml:space="preserve"> XE "</w:instrText>
            </w:r>
            <w:r w:rsidRPr="002F44EE">
              <w:rPr>
                <w:b/>
              </w:rPr>
              <w:instrText>Base Case</w:instrText>
            </w:r>
            <w:r w:rsidRPr="002F44EE">
              <w:instrText xml:space="preserve">" </w:instrText>
            </w:r>
            <w:r w:rsidRPr="002F44EE">
              <w:rPr>
                <w:b/>
              </w:rPr>
              <w:fldChar w:fldCharType="end"/>
            </w:r>
            <w:r w:rsidRPr="002F44EE">
              <w:rPr>
                <w:b/>
              </w:rPr>
              <w:t xml:space="preserve"> – Measure)</w:t>
            </w:r>
            <w:r w:rsidRPr="002F44EE">
              <w:rPr>
                <w:szCs w:val="20"/>
              </w:rPr>
              <w:t xml:space="preserve"> </w:t>
            </w:r>
          </w:p>
        </w:tc>
        <w:tc>
          <w:tcPr>
            <w:tcW w:w="6096" w:type="dxa"/>
            <w:shd w:val="pct20" w:color="000000" w:fill="FFFFFF"/>
            <w:vAlign w:val="center"/>
          </w:tcPr>
          <w:p w:rsidR="001E1741" w:rsidRDefault="0075532A" w:rsidP="006A22B3">
            <w:pPr>
              <w:ind w:right="-108"/>
              <w:rPr>
                <w:szCs w:val="20"/>
              </w:rPr>
            </w:pPr>
            <w:r>
              <w:rPr>
                <w:szCs w:val="20"/>
              </w:rPr>
              <w:t>Various</w:t>
            </w:r>
            <w:r w:rsidR="00E634C0">
              <w:rPr>
                <w:szCs w:val="20"/>
              </w:rPr>
              <w:t>, per existing lamp configuration, per-linear foot and controls</w:t>
            </w:r>
          </w:p>
          <w:p w:rsidR="00365453" w:rsidRPr="002F44EE" w:rsidRDefault="00365453" w:rsidP="006A22B3">
            <w:pPr>
              <w:ind w:right="-108"/>
              <w:rPr>
                <w:szCs w:val="20"/>
              </w:rPr>
            </w:pPr>
            <w:r w:rsidRPr="002F44EE">
              <w:rPr>
                <w:szCs w:val="20"/>
              </w:rPr>
              <w:t>Source: PG&amp;E calculations</w:t>
            </w:r>
            <w:r w:rsidR="003011E0">
              <w:rPr>
                <w:szCs w:val="20"/>
              </w:rPr>
              <w:t>, 2011 hours of operation and IE effects</w:t>
            </w:r>
          </w:p>
        </w:tc>
      </w:tr>
      <w:tr w:rsidR="001E1741" w:rsidRPr="002F44EE" w:rsidTr="00D02719">
        <w:trPr>
          <w:trHeight w:val="297"/>
        </w:trPr>
        <w:tc>
          <w:tcPr>
            <w:tcW w:w="3732" w:type="dxa"/>
            <w:shd w:val="pct5" w:color="000000" w:fill="FFFFFF"/>
          </w:tcPr>
          <w:p w:rsidR="001E1741" w:rsidRPr="002F44EE" w:rsidRDefault="001E1741" w:rsidP="00D02719">
            <w:pPr>
              <w:rPr>
                <w:b/>
              </w:rPr>
            </w:pPr>
            <w:r w:rsidRPr="002F44EE">
              <w:rPr>
                <w:b/>
              </w:rPr>
              <w:t xml:space="preserve">Costs Common Units: </w:t>
            </w:r>
          </w:p>
        </w:tc>
        <w:tc>
          <w:tcPr>
            <w:tcW w:w="6096" w:type="dxa"/>
            <w:shd w:val="pct5" w:color="000000" w:fill="FFFFFF"/>
            <w:vAlign w:val="center"/>
          </w:tcPr>
          <w:p w:rsidR="001E1741" w:rsidRPr="002F44EE" w:rsidRDefault="001E1741" w:rsidP="006A22B3">
            <w:pPr>
              <w:ind w:right="-61"/>
              <w:rPr>
                <w:szCs w:val="20"/>
              </w:rPr>
            </w:pPr>
            <w:r w:rsidRPr="002F44EE">
              <w:rPr>
                <w:szCs w:val="20"/>
              </w:rPr>
              <w:t>$ per unit</w:t>
            </w:r>
          </w:p>
        </w:tc>
      </w:tr>
      <w:tr w:rsidR="001E1741" w:rsidRPr="002F44EE" w:rsidTr="00D02719">
        <w:trPr>
          <w:trHeight w:val="465"/>
        </w:trPr>
        <w:tc>
          <w:tcPr>
            <w:tcW w:w="3732" w:type="dxa"/>
            <w:shd w:val="pct20" w:color="000000" w:fill="FFFFFF"/>
          </w:tcPr>
          <w:p w:rsidR="001E1741" w:rsidRPr="002F44EE" w:rsidRDefault="001E1741" w:rsidP="00D02719">
            <w:pPr>
              <w:rPr>
                <w:b/>
              </w:rPr>
            </w:pPr>
            <w:r w:rsidRPr="002F44EE">
              <w:rPr>
                <w:b/>
              </w:rPr>
              <w:t>Base Case</w:t>
            </w:r>
            <w:r w:rsidRPr="002F44EE">
              <w:rPr>
                <w:b/>
              </w:rPr>
              <w:fldChar w:fldCharType="begin"/>
            </w:r>
            <w:r w:rsidRPr="002F44EE">
              <w:instrText xml:space="preserve"> XE "</w:instrText>
            </w:r>
            <w:r w:rsidRPr="002F44EE">
              <w:rPr>
                <w:b/>
              </w:rPr>
              <w:instrText>Base Case</w:instrText>
            </w:r>
            <w:r w:rsidRPr="002F44EE">
              <w:instrText xml:space="preserve">" </w:instrText>
            </w:r>
            <w:r w:rsidRPr="002F44EE">
              <w:rPr>
                <w:b/>
              </w:rPr>
              <w:fldChar w:fldCharType="end"/>
            </w:r>
            <w:r w:rsidRPr="002F44EE">
              <w:rPr>
                <w:b/>
              </w:rPr>
              <w:t xml:space="preserve"> Equipment Cost</w:t>
            </w:r>
            <w:r w:rsidRPr="002F44EE">
              <w:rPr>
                <w:b/>
              </w:rPr>
              <w:fldChar w:fldCharType="begin"/>
            </w:r>
            <w:r w:rsidRPr="002F44EE">
              <w:instrText xml:space="preserve"> XE "</w:instrText>
            </w:r>
            <w:r w:rsidRPr="002F44EE">
              <w:rPr>
                <w:b/>
              </w:rPr>
              <w:instrText>Cost</w:instrText>
            </w:r>
            <w:r w:rsidRPr="002F44EE">
              <w:instrText xml:space="preserve">" </w:instrText>
            </w:r>
            <w:r w:rsidRPr="002F44EE">
              <w:rPr>
                <w:b/>
              </w:rPr>
              <w:fldChar w:fldCharType="end"/>
            </w:r>
            <w:r w:rsidRPr="002F44EE">
              <w:rPr>
                <w:b/>
              </w:rPr>
              <w:t xml:space="preserve"> ($/unit):</w:t>
            </w:r>
          </w:p>
          <w:p w:rsidR="001E1741" w:rsidRPr="002F44EE" w:rsidRDefault="001E1741" w:rsidP="00D02719">
            <w:pPr>
              <w:rPr>
                <w:b/>
              </w:rPr>
            </w:pPr>
          </w:p>
        </w:tc>
        <w:tc>
          <w:tcPr>
            <w:tcW w:w="6096" w:type="dxa"/>
            <w:shd w:val="pct20" w:color="000000" w:fill="FFFFFF"/>
            <w:vAlign w:val="center"/>
          </w:tcPr>
          <w:p w:rsidR="001E1741" w:rsidRDefault="0075532A" w:rsidP="006A22B3">
            <w:pPr>
              <w:ind w:right="-108"/>
              <w:rPr>
                <w:szCs w:val="20"/>
              </w:rPr>
            </w:pPr>
            <w:r>
              <w:rPr>
                <w:szCs w:val="20"/>
              </w:rPr>
              <w:t>Various</w:t>
            </w:r>
            <w:r w:rsidR="00E634C0">
              <w:rPr>
                <w:szCs w:val="20"/>
              </w:rPr>
              <w:t>, per linear foot</w:t>
            </w:r>
          </w:p>
          <w:p w:rsidR="003011E0" w:rsidRPr="002F44EE" w:rsidRDefault="003011E0" w:rsidP="006A22B3">
            <w:pPr>
              <w:ind w:right="-108"/>
              <w:rPr>
                <w:szCs w:val="20"/>
              </w:rPr>
            </w:pPr>
            <w:r w:rsidRPr="002F44EE">
              <w:rPr>
                <w:szCs w:val="20"/>
              </w:rPr>
              <w:t>Source: PG&amp;E calculations</w:t>
            </w:r>
          </w:p>
        </w:tc>
      </w:tr>
      <w:tr w:rsidR="001E1741" w:rsidRPr="002F44EE" w:rsidTr="00D02719">
        <w:trPr>
          <w:trHeight w:val="465"/>
        </w:trPr>
        <w:tc>
          <w:tcPr>
            <w:tcW w:w="3732" w:type="dxa"/>
            <w:shd w:val="pct5" w:color="000000" w:fill="FFFFFF"/>
          </w:tcPr>
          <w:p w:rsidR="001E1741" w:rsidRPr="002F44EE" w:rsidRDefault="001E1741" w:rsidP="00D02719">
            <w:pPr>
              <w:rPr>
                <w:b/>
              </w:rPr>
            </w:pPr>
            <w:r w:rsidRPr="002F44EE">
              <w:rPr>
                <w:b/>
              </w:rPr>
              <w:t>Measure Equipment Cost</w:t>
            </w:r>
            <w:r w:rsidRPr="002F44EE">
              <w:rPr>
                <w:b/>
              </w:rPr>
              <w:fldChar w:fldCharType="begin"/>
            </w:r>
            <w:r w:rsidRPr="002F44EE">
              <w:instrText xml:space="preserve"> XE "</w:instrText>
            </w:r>
            <w:r w:rsidRPr="002F44EE">
              <w:rPr>
                <w:b/>
              </w:rPr>
              <w:instrText>Cost</w:instrText>
            </w:r>
            <w:r w:rsidRPr="002F44EE">
              <w:instrText xml:space="preserve">" </w:instrText>
            </w:r>
            <w:r w:rsidRPr="002F44EE">
              <w:rPr>
                <w:b/>
              </w:rPr>
              <w:fldChar w:fldCharType="end"/>
            </w:r>
            <w:r w:rsidRPr="002F44EE">
              <w:rPr>
                <w:b/>
              </w:rPr>
              <w:t xml:space="preserve"> ($/unit): </w:t>
            </w:r>
          </w:p>
          <w:p w:rsidR="001E1741" w:rsidRPr="002F44EE" w:rsidRDefault="001E1741" w:rsidP="00D02719">
            <w:pPr>
              <w:rPr>
                <w:b/>
              </w:rPr>
            </w:pPr>
          </w:p>
        </w:tc>
        <w:tc>
          <w:tcPr>
            <w:tcW w:w="6096" w:type="dxa"/>
            <w:shd w:val="pct5" w:color="000000" w:fill="FFFFFF"/>
            <w:vAlign w:val="center"/>
          </w:tcPr>
          <w:p w:rsidR="001E1741" w:rsidRDefault="0075532A" w:rsidP="006A22B3">
            <w:pPr>
              <w:ind w:right="-108"/>
              <w:rPr>
                <w:szCs w:val="20"/>
              </w:rPr>
            </w:pPr>
            <w:r>
              <w:rPr>
                <w:szCs w:val="20"/>
              </w:rPr>
              <w:t>Various</w:t>
            </w:r>
            <w:r w:rsidR="001E1741">
              <w:rPr>
                <w:szCs w:val="20"/>
              </w:rPr>
              <w:t>, per-linear foot</w:t>
            </w:r>
          </w:p>
          <w:p w:rsidR="003011E0" w:rsidRPr="002F44EE" w:rsidRDefault="003011E0" w:rsidP="006A22B3">
            <w:pPr>
              <w:ind w:right="-108"/>
              <w:rPr>
                <w:szCs w:val="20"/>
              </w:rPr>
            </w:pPr>
            <w:r w:rsidRPr="002F44EE">
              <w:rPr>
                <w:szCs w:val="20"/>
              </w:rPr>
              <w:t>Source: PG&amp;E calculations</w:t>
            </w:r>
          </w:p>
        </w:tc>
      </w:tr>
      <w:tr w:rsidR="001E1741" w:rsidRPr="002F44EE" w:rsidTr="00D02719">
        <w:trPr>
          <w:trHeight w:val="465"/>
        </w:trPr>
        <w:tc>
          <w:tcPr>
            <w:tcW w:w="3732" w:type="dxa"/>
            <w:shd w:val="pct20" w:color="000000" w:fill="FFFFFF"/>
          </w:tcPr>
          <w:p w:rsidR="001E1741" w:rsidRPr="002F44EE" w:rsidRDefault="001E1741" w:rsidP="00D02719">
            <w:pPr>
              <w:rPr>
                <w:b/>
              </w:rPr>
            </w:pPr>
            <w:r w:rsidRPr="002F44EE">
              <w:rPr>
                <w:b/>
              </w:rPr>
              <w:t>Measure Incremental Cost</w:t>
            </w:r>
            <w:r w:rsidRPr="002F44EE">
              <w:rPr>
                <w:b/>
              </w:rPr>
              <w:fldChar w:fldCharType="begin"/>
            </w:r>
            <w:r w:rsidRPr="002F44EE">
              <w:instrText xml:space="preserve"> XE "</w:instrText>
            </w:r>
            <w:r w:rsidRPr="002F44EE">
              <w:rPr>
                <w:b/>
              </w:rPr>
              <w:instrText>Cost</w:instrText>
            </w:r>
            <w:r w:rsidRPr="002F44EE">
              <w:instrText xml:space="preserve">" </w:instrText>
            </w:r>
            <w:r w:rsidRPr="002F44EE">
              <w:rPr>
                <w:b/>
              </w:rPr>
              <w:fldChar w:fldCharType="end"/>
            </w:r>
            <w:r w:rsidRPr="002F44EE">
              <w:rPr>
                <w:b/>
              </w:rPr>
              <w:t xml:space="preserve"> ($/unit): </w:t>
            </w:r>
          </w:p>
          <w:p w:rsidR="001E1741" w:rsidRPr="002F44EE" w:rsidRDefault="001E1741" w:rsidP="00D02719">
            <w:pPr>
              <w:rPr>
                <w:b/>
              </w:rPr>
            </w:pPr>
          </w:p>
        </w:tc>
        <w:tc>
          <w:tcPr>
            <w:tcW w:w="6096" w:type="dxa"/>
            <w:shd w:val="pct20" w:color="000000" w:fill="FFFFFF"/>
            <w:vAlign w:val="center"/>
          </w:tcPr>
          <w:p w:rsidR="001E1741" w:rsidRDefault="0075532A" w:rsidP="006A22B3">
            <w:pPr>
              <w:ind w:right="-108"/>
              <w:rPr>
                <w:szCs w:val="20"/>
              </w:rPr>
            </w:pPr>
            <w:r>
              <w:rPr>
                <w:szCs w:val="20"/>
              </w:rPr>
              <w:t>Various</w:t>
            </w:r>
            <w:r w:rsidR="001E1741">
              <w:rPr>
                <w:szCs w:val="20"/>
              </w:rPr>
              <w:t>, per-linear foot</w:t>
            </w:r>
          </w:p>
          <w:p w:rsidR="0043664B" w:rsidRPr="002F44EE" w:rsidRDefault="0043664B" w:rsidP="006A22B3">
            <w:pPr>
              <w:ind w:right="-108"/>
              <w:rPr>
                <w:szCs w:val="20"/>
              </w:rPr>
            </w:pPr>
            <w:r w:rsidRPr="002F44EE">
              <w:rPr>
                <w:szCs w:val="20"/>
              </w:rPr>
              <w:t>Source: PG&amp;E calculations</w:t>
            </w:r>
          </w:p>
        </w:tc>
      </w:tr>
      <w:tr w:rsidR="001E1741" w:rsidRPr="002F44EE" w:rsidTr="00D02719">
        <w:trPr>
          <w:trHeight w:val="465"/>
        </w:trPr>
        <w:tc>
          <w:tcPr>
            <w:tcW w:w="3732" w:type="dxa"/>
            <w:shd w:val="pct5" w:color="000000" w:fill="FFFFFF"/>
          </w:tcPr>
          <w:p w:rsidR="001E1741" w:rsidRPr="002F44EE" w:rsidRDefault="001E1741" w:rsidP="00D02719">
            <w:pPr>
              <w:rPr>
                <w:b/>
              </w:rPr>
            </w:pPr>
            <w:r w:rsidRPr="002F44EE">
              <w:rPr>
                <w:b/>
              </w:rPr>
              <w:t xml:space="preserve">Effective Useful Life (years): </w:t>
            </w:r>
          </w:p>
          <w:p w:rsidR="001E1741" w:rsidRPr="002F44EE" w:rsidRDefault="001E1741" w:rsidP="00D02719">
            <w:pPr>
              <w:rPr>
                <w:b/>
              </w:rPr>
            </w:pPr>
          </w:p>
        </w:tc>
        <w:tc>
          <w:tcPr>
            <w:tcW w:w="6096" w:type="dxa"/>
            <w:shd w:val="pct5" w:color="000000" w:fill="FFFFFF"/>
            <w:vAlign w:val="center"/>
          </w:tcPr>
          <w:p w:rsidR="001E1741" w:rsidRDefault="002C609E" w:rsidP="006A22B3">
            <w:pPr>
              <w:ind w:right="-108"/>
              <w:rPr>
                <w:szCs w:val="20"/>
              </w:rPr>
            </w:pPr>
            <w:r>
              <w:rPr>
                <w:szCs w:val="20"/>
              </w:rPr>
              <w:t>Varies</w:t>
            </w:r>
            <w:r w:rsidR="008C1D1C">
              <w:rPr>
                <w:szCs w:val="20"/>
              </w:rPr>
              <w:t xml:space="preserve"> by building type</w:t>
            </w:r>
          </w:p>
          <w:p w:rsidR="0043664B" w:rsidRPr="002F44EE" w:rsidRDefault="0043664B" w:rsidP="006A22B3">
            <w:pPr>
              <w:ind w:right="-108"/>
              <w:rPr>
                <w:szCs w:val="20"/>
              </w:rPr>
            </w:pPr>
            <w:r w:rsidRPr="002F44EE">
              <w:rPr>
                <w:szCs w:val="20"/>
              </w:rPr>
              <w:t xml:space="preserve">Source: </w:t>
            </w:r>
            <w:r w:rsidR="0003253F">
              <w:rPr>
                <w:szCs w:val="20"/>
              </w:rPr>
              <w:t>2011 DEER</w:t>
            </w:r>
          </w:p>
        </w:tc>
      </w:tr>
      <w:tr w:rsidR="001E1741" w:rsidRPr="002F44EE" w:rsidTr="00D02719">
        <w:trPr>
          <w:trHeight w:val="465"/>
        </w:trPr>
        <w:tc>
          <w:tcPr>
            <w:tcW w:w="3732" w:type="dxa"/>
            <w:shd w:val="pct20" w:color="000000" w:fill="FFFFFF"/>
          </w:tcPr>
          <w:p w:rsidR="001E1741" w:rsidRPr="002F44EE" w:rsidRDefault="001E1741" w:rsidP="00D02719">
            <w:pPr>
              <w:rPr>
                <w:b/>
              </w:rPr>
            </w:pPr>
            <w:r w:rsidRPr="002F44EE">
              <w:rPr>
                <w:b/>
              </w:rPr>
              <w:t>Program Type:</w:t>
            </w:r>
          </w:p>
          <w:p w:rsidR="001E1741" w:rsidRPr="002F44EE" w:rsidRDefault="001E1741" w:rsidP="00D02719">
            <w:pPr>
              <w:rPr>
                <w:b/>
              </w:rPr>
            </w:pPr>
          </w:p>
        </w:tc>
        <w:tc>
          <w:tcPr>
            <w:tcW w:w="6096" w:type="dxa"/>
            <w:shd w:val="pct20" w:color="000000" w:fill="FFFFFF"/>
            <w:vAlign w:val="center"/>
          </w:tcPr>
          <w:p w:rsidR="001E1741" w:rsidRPr="002F44EE" w:rsidRDefault="00A538CB" w:rsidP="00C47FD7">
            <w:pPr>
              <w:ind w:right="-108"/>
              <w:rPr>
                <w:szCs w:val="20"/>
              </w:rPr>
            </w:pPr>
            <w:r>
              <w:rPr>
                <w:szCs w:val="20"/>
              </w:rPr>
              <w:t>Replace on burnout</w:t>
            </w:r>
            <w:r w:rsidRPr="002F44EE">
              <w:rPr>
                <w:szCs w:val="20"/>
              </w:rPr>
              <w:t xml:space="preserve"> (R</w:t>
            </w:r>
            <w:r>
              <w:rPr>
                <w:szCs w:val="20"/>
              </w:rPr>
              <w:t>OB</w:t>
            </w:r>
            <w:r w:rsidR="00C47FD7">
              <w:rPr>
                <w:szCs w:val="20"/>
              </w:rPr>
              <w:t>)</w:t>
            </w:r>
            <w:r>
              <w:rPr>
                <w:szCs w:val="20"/>
              </w:rPr>
              <w:t xml:space="preserve"> / Direct Install (DI)</w:t>
            </w:r>
          </w:p>
        </w:tc>
      </w:tr>
      <w:tr w:rsidR="001E1741" w:rsidRPr="002F44EE" w:rsidTr="00D02719">
        <w:trPr>
          <w:trHeight w:val="465"/>
        </w:trPr>
        <w:tc>
          <w:tcPr>
            <w:tcW w:w="3732" w:type="dxa"/>
            <w:tcBorders>
              <w:bottom w:val="single" w:sz="18" w:space="0" w:color="FFFFFF"/>
            </w:tcBorders>
            <w:shd w:val="pct5" w:color="000000" w:fill="FFFFFF"/>
          </w:tcPr>
          <w:p w:rsidR="001E1741" w:rsidRPr="002F44EE" w:rsidRDefault="001E1741" w:rsidP="00D02719">
            <w:pPr>
              <w:rPr>
                <w:b/>
              </w:rPr>
            </w:pPr>
            <w:r w:rsidRPr="002F44EE">
              <w:rPr>
                <w:b/>
              </w:rPr>
              <w:t xml:space="preserve">Net-to-Gross Ratios: </w:t>
            </w:r>
          </w:p>
          <w:p w:rsidR="001E1741" w:rsidRPr="002F44EE" w:rsidRDefault="001E1741" w:rsidP="00D02719">
            <w:pPr>
              <w:rPr>
                <w:b/>
              </w:rPr>
            </w:pPr>
          </w:p>
        </w:tc>
        <w:tc>
          <w:tcPr>
            <w:tcW w:w="6096" w:type="dxa"/>
            <w:tcBorders>
              <w:bottom w:val="single" w:sz="18" w:space="0" w:color="FFFFFF"/>
            </w:tcBorders>
            <w:shd w:val="pct5" w:color="000000" w:fill="FFFFFF"/>
            <w:vAlign w:val="center"/>
          </w:tcPr>
          <w:p w:rsidR="00A538CB" w:rsidRPr="00A538CB" w:rsidRDefault="00A538CB" w:rsidP="00A538CB">
            <w:pPr>
              <w:ind w:right="-108"/>
              <w:rPr>
                <w:szCs w:val="20"/>
              </w:rPr>
            </w:pPr>
            <w:r w:rsidRPr="00A538CB">
              <w:rPr>
                <w:szCs w:val="20"/>
              </w:rPr>
              <w:t xml:space="preserve">0.6, </w:t>
            </w:r>
          </w:p>
          <w:p w:rsidR="0043664B" w:rsidRPr="002F44EE" w:rsidRDefault="00A538CB" w:rsidP="00A538CB">
            <w:pPr>
              <w:ind w:right="-108"/>
              <w:rPr>
                <w:szCs w:val="20"/>
              </w:rPr>
            </w:pPr>
            <w:r w:rsidRPr="00A538CB">
              <w:rPr>
                <w:szCs w:val="20"/>
              </w:rPr>
              <w:t>Source: 2014 DEER, NTGR_ID= All-Default&gt;2yrs</w:t>
            </w:r>
          </w:p>
        </w:tc>
      </w:tr>
      <w:tr w:rsidR="001E1741" w:rsidRPr="002F44EE" w:rsidTr="007A743C">
        <w:trPr>
          <w:trHeight w:val="918"/>
        </w:trPr>
        <w:tc>
          <w:tcPr>
            <w:tcW w:w="3732" w:type="dxa"/>
            <w:tcBorders>
              <w:top w:val="single" w:sz="18" w:space="0" w:color="FFFFFF"/>
              <w:bottom w:val="nil"/>
            </w:tcBorders>
            <w:shd w:val="clear" w:color="000000" w:fill="CCCCCC"/>
          </w:tcPr>
          <w:p w:rsidR="001E1741" w:rsidRPr="002F44EE" w:rsidRDefault="001E1741" w:rsidP="00D02719">
            <w:pPr>
              <w:rPr>
                <w:b/>
              </w:rPr>
            </w:pPr>
            <w:r w:rsidRPr="002F44EE">
              <w:rPr>
                <w:b/>
              </w:rPr>
              <w:t>Important Comments:</w:t>
            </w:r>
          </w:p>
        </w:tc>
        <w:tc>
          <w:tcPr>
            <w:tcW w:w="6096" w:type="dxa"/>
            <w:tcBorders>
              <w:top w:val="single" w:sz="18" w:space="0" w:color="FFFFFF"/>
              <w:bottom w:val="nil"/>
            </w:tcBorders>
            <w:shd w:val="clear" w:color="000000" w:fill="CCCCCC"/>
            <w:vAlign w:val="center"/>
          </w:tcPr>
          <w:p w:rsidR="0075532A" w:rsidRDefault="0075532A" w:rsidP="00D02719">
            <w:pPr>
              <w:rPr>
                <w:szCs w:val="20"/>
              </w:rPr>
            </w:pPr>
            <w:r>
              <w:rPr>
                <w:szCs w:val="20"/>
              </w:rPr>
              <w:t>Revised savings values per ED Workpaper Disposition for Lighting Retrofits, December 14, 2013.  For updated savings values, see file PGECOLTG174 R</w:t>
            </w:r>
            <w:r w:rsidR="00A538CB">
              <w:rPr>
                <w:szCs w:val="20"/>
              </w:rPr>
              <w:t>2</w:t>
            </w:r>
            <w:r>
              <w:rPr>
                <w:szCs w:val="20"/>
              </w:rPr>
              <w:t>.  Removed measures with occupancy sensor savings to accommodate 2013 Title 24.</w:t>
            </w:r>
          </w:p>
          <w:p w:rsidR="0075532A" w:rsidRPr="00D739E6" w:rsidRDefault="0075532A" w:rsidP="00D02719">
            <w:pPr>
              <w:rPr>
                <w:szCs w:val="20"/>
              </w:rPr>
            </w:pPr>
          </w:p>
        </w:tc>
      </w:tr>
    </w:tbl>
    <w:p w:rsidR="005F19E0" w:rsidRPr="005F19E0" w:rsidRDefault="006F0139" w:rsidP="0006490F">
      <w:pPr>
        <w:rPr>
          <w:rFonts w:cs="Arial"/>
          <w:b/>
          <w:color w:val="FF0000"/>
          <w:szCs w:val="20"/>
        </w:rPr>
        <w:sectPr w:rsidR="005F19E0" w:rsidRPr="005F19E0" w:rsidSect="00DD3011">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pgNumType w:fmt="lowerRoman"/>
          <w:cols w:space="720"/>
          <w:docGrid w:linePitch="360"/>
        </w:sectPr>
      </w:pPr>
      <w:r w:rsidRPr="006F0139">
        <w:rPr>
          <w:rFonts w:cs="Arial"/>
          <w:b/>
          <w:i/>
          <w:color w:val="FF0000"/>
          <w:szCs w:val="20"/>
          <w:highlight w:val="cyan"/>
        </w:rPr>
        <w:t xml:space="preserve"> </w:t>
      </w:r>
    </w:p>
    <w:p w:rsidR="00DD3011" w:rsidRDefault="00DD3011">
      <w:pPr>
        <w:rPr>
          <w:rFonts w:cs="Arial"/>
          <w:b/>
          <w:bCs/>
          <w:kern w:val="32"/>
          <w:sz w:val="32"/>
          <w:szCs w:val="32"/>
        </w:rPr>
      </w:pPr>
      <w:bookmarkStart w:id="3" w:name="_Toc174189524"/>
      <w:r>
        <w:lastRenderedPageBreak/>
        <w:br w:type="page"/>
      </w:r>
    </w:p>
    <w:p w:rsidR="00E71EF1" w:rsidRDefault="00E71EF1" w:rsidP="00E71EF1">
      <w:pPr>
        <w:pStyle w:val="Heading1"/>
      </w:pPr>
      <w:bookmarkStart w:id="4" w:name="_Toc437853341"/>
      <w:bookmarkEnd w:id="3"/>
      <w:r>
        <w:lastRenderedPageBreak/>
        <w:t>Document Revision History</w:t>
      </w:r>
      <w:bookmarkEnd w:id="4"/>
    </w:p>
    <w:p w:rsidR="00E91C15" w:rsidRDefault="004203DD" w:rsidP="001A573F">
      <w:r>
        <w:t xml:space="preserve"> </w:t>
      </w:r>
      <w:r w:rsidR="00E91C15">
        <w:tab/>
      </w:r>
      <w:r w:rsidR="00E91C15">
        <w:tab/>
      </w:r>
      <w:r w:rsidR="00E91C15">
        <w:tab/>
      </w:r>
      <w:r w:rsidR="00E91C15">
        <w:tab/>
      </w:r>
      <w:r>
        <w:t xml:space="preserve"> </w:t>
      </w:r>
      <w:r w:rsidR="00E91C15">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597812" w:rsidTr="00597812">
        <w:trPr>
          <w:trHeight w:val="464"/>
        </w:trPr>
        <w:tc>
          <w:tcPr>
            <w:tcW w:w="870" w:type="pct"/>
            <w:tcBorders>
              <w:top w:val="nil"/>
              <w:bottom w:val="single" w:sz="18" w:space="0" w:color="FFFFFF"/>
            </w:tcBorders>
            <w:shd w:val="clear" w:color="auto" w:fill="auto"/>
          </w:tcPr>
          <w:p w:rsidR="000374A5" w:rsidRPr="00597812" w:rsidRDefault="000374A5" w:rsidP="000374A5">
            <w:pPr>
              <w:jc w:val="center"/>
              <w:rPr>
                <w:b/>
                <w:bCs/>
              </w:rPr>
            </w:pPr>
            <w:r w:rsidRPr="00597812">
              <w:rPr>
                <w:b/>
              </w:rPr>
              <w:t>Revision #</w:t>
            </w:r>
            <w:r w:rsidRPr="00597812">
              <w:rPr>
                <w:b/>
              </w:rPr>
              <w:tab/>
            </w:r>
          </w:p>
        </w:tc>
        <w:tc>
          <w:tcPr>
            <w:tcW w:w="746" w:type="pct"/>
            <w:tcBorders>
              <w:top w:val="nil"/>
              <w:bottom w:val="single" w:sz="18" w:space="0" w:color="FFFFFF"/>
            </w:tcBorders>
            <w:shd w:val="clear" w:color="auto" w:fill="auto"/>
          </w:tcPr>
          <w:p w:rsidR="000374A5" w:rsidRPr="00597812" w:rsidRDefault="000374A5" w:rsidP="000374A5">
            <w:pPr>
              <w:jc w:val="center"/>
              <w:rPr>
                <w:b/>
                <w:bCs/>
                <w:szCs w:val="20"/>
              </w:rPr>
            </w:pPr>
            <w:r w:rsidRPr="00597812">
              <w:rPr>
                <w:b/>
              </w:rPr>
              <w:t xml:space="preserve">Date </w:t>
            </w:r>
            <w:r w:rsidRPr="00597812">
              <w:rPr>
                <w:b/>
              </w:rPr>
              <w:tab/>
            </w:r>
          </w:p>
        </w:tc>
        <w:tc>
          <w:tcPr>
            <w:tcW w:w="1692" w:type="pct"/>
            <w:tcBorders>
              <w:top w:val="nil"/>
              <w:bottom w:val="single" w:sz="18" w:space="0" w:color="FFFFFF"/>
            </w:tcBorders>
            <w:shd w:val="clear" w:color="auto" w:fill="auto"/>
          </w:tcPr>
          <w:p w:rsidR="000374A5" w:rsidRPr="00597812" w:rsidRDefault="000374A5" w:rsidP="000374A5">
            <w:pPr>
              <w:jc w:val="center"/>
              <w:rPr>
                <w:b/>
                <w:bCs/>
                <w:szCs w:val="20"/>
              </w:rPr>
            </w:pPr>
            <w:r w:rsidRPr="00597812">
              <w:rPr>
                <w:b/>
              </w:rPr>
              <w:t>Section by Section Description of Revisions</w:t>
            </w:r>
          </w:p>
        </w:tc>
        <w:tc>
          <w:tcPr>
            <w:tcW w:w="1692" w:type="pct"/>
            <w:tcBorders>
              <w:top w:val="nil"/>
              <w:bottom w:val="single" w:sz="18" w:space="0" w:color="FFFFFF"/>
            </w:tcBorders>
            <w:shd w:val="clear" w:color="auto" w:fill="auto"/>
          </w:tcPr>
          <w:p w:rsidR="000374A5" w:rsidRPr="00597812" w:rsidRDefault="000374A5" w:rsidP="000374A5">
            <w:pPr>
              <w:jc w:val="center"/>
              <w:rPr>
                <w:b/>
                <w:bCs/>
                <w:szCs w:val="20"/>
              </w:rPr>
            </w:pPr>
            <w:r w:rsidRPr="00597812">
              <w:rPr>
                <w:b/>
              </w:rPr>
              <w:t>Author (Company)</w:t>
            </w:r>
          </w:p>
        </w:tc>
      </w:tr>
      <w:tr w:rsidR="00E91C15" w:rsidRPr="00783DAC" w:rsidTr="00183B95">
        <w:trPr>
          <w:trHeight w:val="464"/>
        </w:trPr>
        <w:tc>
          <w:tcPr>
            <w:tcW w:w="870" w:type="pct"/>
            <w:tcBorders>
              <w:top w:val="single" w:sz="18" w:space="0" w:color="FFFFFF"/>
            </w:tcBorders>
            <w:shd w:val="clear" w:color="auto" w:fill="A6A6A6"/>
          </w:tcPr>
          <w:p w:rsidR="00E91C15" w:rsidRPr="00711CE2" w:rsidRDefault="00CE6ADC" w:rsidP="008948E0">
            <w:pPr>
              <w:rPr>
                <w:bCs/>
              </w:rPr>
            </w:pPr>
            <w:r w:rsidRPr="00711CE2">
              <w:rPr>
                <w:bCs/>
              </w:rPr>
              <w:t xml:space="preserve">Revision </w:t>
            </w:r>
            <w:r w:rsidR="00814028" w:rsidRPr="00711CE2">
              <w:rPr>
                <w:bCs/>
              </w:rPr>
              <w:t>0</w:t>
            </w:r>
          </w:p>
        </w:tc>
        <w:tc>
          <w:tcPr>
            <w:tcW w:w="746" w:type="pct"/>
            <w:tcBorders>
              <w:top w:val="single" w:sz="18" w:space="0" w:color="FFFFFF"/>
            </w:tcBorders>
            <w:shd w:val="clear" w:color="auto" w:fill="A6A6A6"/>
          </w:tcPr>
          <w:p w:rsidR="00E91C15" w:rsidRPr="00711CE2" w:rsidRDefault="00E873A0" w:rsidP="005C1C4E">
            <w:pPr>
              <w:rPr>
                <w:bCs/>
                <w:szCs w:val="20"/>
              </w:rPr>
            </w:pPr>
            <w:r w:rsidRPr="00711CE2">
              <w:rPr>
                <w:bCs/>
                <w:szCs w:val="20"/>
              </w:rPr>
              <w:t>0</w:t>
            </w:r>
            <w:r w:rsidR="005C1C4E" w:rsidRPr="00711CE2">
              <w:rPr>
                <w:bCs/>
                <w:szCs w:val="20"/>
              </w:rPr>
              <w:t>6</w:t>
            </w:r>
            <w:r w:rsidRPr="00711CE2">
              <w:rPr>
                <w:bCs/>
                <w:szCs w:val="20"/>
              </w:rPr>
              <w:t>/0</w:t>
            </w:r>
            <w:r w:rsidR="00A93663" w:rsidRPr="00711CE2">
              <w:rPr>
                <w:bCs/>
                <w:szCs w:val="20"/>
              </w:rPr>
              <w:t>8</w:t>
            </w:r>
            <w:r w:rsidR="004464AA" w:rsidRPr="00711CE2">
              <w:rPr>
                <w:bCs/>
                <w:szCs w:val="20"/>
              </w:rPr>
              <w:t>/2012</w:t>
            </w:r>
          </w:p>
        </w:tc>
        <w:tc>
          <w:tcPr>
            <w:tcW w:w="1692" w:type="pct"/>
            <w:tcBorders>
              <w:top w:val="single" w:sz="18" w:space="0" w:color="FFFFFF"/>
            </w:tcBorders>
            <w:shd w:val="clear" w:color="auto" w:fill="A6A6A6"/>
          </w:tcPr>
          <w:p w:rsidR="00E91C15" w:rsidRPr="00711CE2" w:rsidRDefault="00E91C15" w:rsidP="008948E0">
            <w:pPr>
              <w:rPr>
                <w:bCs/>
                <w:szCs w:val="20"/>
              </w:rPr>
            </w:pPr>
            <w:r w:rsidRPr="00711CE2">
              <w:rPr>
                <w:bCs/>
                <w:szCs w:val="20"/>
              </w:rPr>
              <w:t>Original work paper</w:t>
            </w:r>
          </w:p>
        </w:tc>
        <w:tc>
          <w:tcPr>
            <w:tcW w:w="1692" w:type="pct"/>
            <w:tcBorders>
              <w:top w:val="single" w:sz="18" w:space="0" w:color="FFFFFF"/>
            </w:tcBorders>
            <w:shd w:val="clear" w:color="auto" w:fill="A6A6A6"/>
          </w:tcPr>
          <w:p w:rsidR="00E91C15" w:rsidRPr="00711CE2" w:rsidRDefault="004464AA" w:rsidP="006A22B3">
            <w:pPr>
              <w:rPr>
                <w:bCs/>
                <w:szCs w:val="20"/>
              </w:rPr>
            </w:pPr>
            <w:r w:rsidRPr="00711CE2">
              <w:rPr>
                <w:bCs/>
                <w:szCs w:val="20"/>
              </w:rPr>
              <w:t>Greg Barker</w:t>
            </w:r>
            <w:r w:rsidR="005C1C4E" w:rsidRPr="00711CE2">
              <w:rPr>
                <w:bCs/>
                <w:szCs w:val="20"/>
              </w:rPr>
              <w:t xml:space="preserve"> and Joey Lande</w:t>
            </w:r>
            <w:r w:rsidRPr="00711CE2">
              <w:rPr>
                <w:bCs/>
                <w:szCs w:val="20"/>
              </w:rPr>
              <w:t xml:space="preserve"> (Energy Solutions)</w:t>
            </w:r>
            <w:r w:rsidR="00223687" w:rsidRPr="00711CE2">
              <w:rPr>
                <w:bCs/>
                <w:szCs w:val="20"/>
              </w:rPr>
              <w:t>, reviewed by Jim Wyatt and Alina Zohrabian</w:t>
            </w:r>
          </w:p>
        </w:tc>
      </w:tr>
      <w:tr w:rsidR="00711CE2" w:rsidRPr="00783DAC" w:rsidTr="00597812">
        <w:trPr>
          <w:trHeight w:val="464"/>
        </w:trPr>
        <w:tc>
          <w:tcPr>
            <w:tcW w:w="870" w:type="pct"/>
            <w:tcBorders>
              <w:top w:val="single" w:sz="18" w:space="0" w:color="FFFFFF"/>
            </w:tcBorders>
            <w:shd w:val="clear" w:color="auto" w:fill="F2F2F2" w:themeFill="background1" w:themeFillShade="F2"/>
          </w:tcPr>
          <w:p w:rsidR="00711CE2" w:rsidRPr="00711CE2" w:rsidRDefault="00711CE2" w:rsidP="008948E0">
            <w:pPr>
              <w:rPr>
                <w:bCs/>
              </w:rPr>
            </w:pPr>
            <w:r w:rsidRPr="00711CE2">
              <w:rPr>
                <w:bCs/>
              </w:rPr>
              <w:t>Revision 0</w:t>
            </w:r>
          </w:p>
        </w:tc>
        <w:tc>
          <w:tcPr>
            <w:tcW w:w="746" w:type="pct"/>
            <w:tcBorders>
              <w:top w:val="single" w:sz="18" w:space="0" w:color="FFFFFF"/>
            </w:tcBorders>
            <w:shd w:val="clear" w:color="auto" w:fill="F2F2F2" w:themeFill="background1" w:themeFillShade="F2"/>
          </w:tcPr>
          <w:p w:rsidR="00711CE2" w:rsidRPr="00711CE2" w:rsidRDefault="00711CE2" w:rsidP="005C1C4E">
            <w:pPr>
              <w:rPr>
                <w:bCs/>
                <w:szCs w:val="20"/>
              </w:rPr>
            </w:pPr>
            <w:r>
              <w:rPr>
                <w:bCs/>
                <w:szCs w:val="20"/>
              </w:rPr>
              <w:t>8/29/12</w:t>
            </w:r>
          </w:p>
        </w:tc>
        <w:tc>
          <w:tcPr>
            <w:tcW w:w="1692" w:type="pct"/>
            <w:tcBorders>
              <w:top w:val="single" w:sz="18" w:space="0" w:color="FFFFFF"/>
            </w:tcBorders>
            <w:shd w:val="clear" w:color="auto" w:fill="F2F2F2" w:themeFill="background1" w:themeFillShade="F2"/>
          </w:tcPr>
          <w:p w:rsidR="00711CE2" w:rsidRPr="00711CE2" w:rsidRDefault="00711CE2" w:rsidP="008948E0">
            <w:pPr>
              <w:rPr>
                <w:bCs/>
                <w:szCs w:val="20"/>
              </w:rPr>
            </w:pPr>
            <w:r w:rsidRPr="00711CE2">
              <w:rPr>
                <w:bCs/>
                <w:szCs w:val="20"/>
              </w:rPr>
              <w:t>The “Com” building type is the weighted up value from DEER building types. OTR explanation is added in the workpaper. For Vintage AV is changed to EX and For Climate Zone All is changed to IOU</w:t>
            </w:r>
          </w:p>
        </w:tc>
        <w:tc>
          <w:tcPr>
            <w:tcW w:w="1692" w:type="pct"/>
            <w:tcBorders>
              <w:top w:val="single" w:sz="18" w:space="0" w:color="FFFFFF"/>
            </w:tcBorders>
            <w:shd w:val="clear" w:color="auto" w:fill="F2F2F2" w:themeFill="background1" w:themeFillShade="F2"/>
          </w:tcPr>
          <w:p w:rsidR="00711CE2" w:rsidRPr="00711CE2" w:rsidRDefault="00711CE2" w:rsidP="006A22B3">
            <w:pPr>
              <w:rPr>
                <w:bCs/>
                <w:szCs w:val="20"/>
              </w:rPr>
            </w:pPr>
            <w:r>
              <w:rPr>
                <w:bCs/>
                <w:szCs w:val="20"/>
              </w:rPr>
              <w:t>Alina Zohrabian (PG&amp;E)</w:t>
            </w:r>
          </w:p>
        </w:tc>
      </w:tr>
      <w:tr w:rsidR="004464AA" w:rsidRPr="00783DAC" w:rsidTr="00E7071F">
        <w:trPr>
          <w:trHeight w:val="464"/>
        </w:trPr>
        <w:tc>
          <w:tcPr>
            <w:tcW w:w="870" w:type="pct"/>
            <w:shd w:val="clear" w:color="auto" w:fill="A6A6A6"/>
          </w:tcPr>
          <w:p w:rsidR="004464AA" w:rsidRPr="0062416A" w:rsidRDefault="00FC2B39" w:rsidP="004464AA">
            <w:r>
              <w:t>Revision 1</w:t>
            </w:r>
          </w:p>
        </w:tc>
        <w:tc>
          <w:tcPr>
            <w:tcW w:w="746" w:type="pct"/>
            <w:shd w:val="clear" w:color="auto" w:fill="A6A6A6"/>
          </w:tcPr>
          <w:p w:rsidR="004464AA" w:rsidRPr="00783DAC" w:rsidRDefault="00FC2B39" w:rsidP="004464AA">
            <w:pPr>
              <w:rPr>
                <w:szCs w:val="20"/>
              </w:rPr>
            </w:pPr>
            <w:r>
              <w:rPr>
                <w:szCs w:val="20"/>
              </w:rPr>
              <w:t>5/19/2014</w:t>
            </w:r>
          </w:p>
        </w:tc>
        <w:tc>
          <w:tcPr>
            <w:tcW w:w="1692" w:type="pct"/>
            <w:shd w:val="clear" w:color="auto" w:fill="A6A6A6"/>
          </w:tcPr>
          <w:p w:rsidR="004464AA" w:rsidRPr="00783DAC" w:rsidRDefault="00FC2B39" w:rsidP="004464AA">
            <w:pPr>
              <w:rPr>
                <w:szCs w:val="20"/>
              </w:rPr>
            </w:pPr>
            <w:r>
              <w:rPr>
                <w:szCs w:val="20"/>
              </w:rPr>
              <w:t>Updated for 2013 T24 update by removing measures with occupancy sensors</w:t>
            </w:r>
            <w:r w:rsidR="00D00565">
              <w:rPr>
                <w:szCs w:val="20"/>
              </w:rPr>
              <w:t>.  Revised savings values per ED workpaper Disposition for Lighting Retrofits, December 2014, 2013.</w:t>
            </w:r>
          </w:p>
        </w:tc>
        <w:tc>
          <w:tcPr>
            <w:tcW w:w="1692" w:type="pct"/>
            <w:shd w:val="clear" w:color="auto" w:fill="A6A6A6"/>
          </w:tcPr>
          <w:p w:rsidR="004464AA" w:rsidRPr="00783DAC" w:rsidRDefault="00FC2B39" w:rsidP="004464AA">
            <w:pPr>
              <w:rPr>
                <w:bCs/>
                <w:szCs w:val="20"/>
              </w:rPr>
            </w:pPr>
            <w:r>
              <w:rPr>
                <w:bCs/>
                <w:szCs w:val="20"/>
              </w:rPr>
              <w:t>Mark Tiemens (PG&amp;E)</w:t>
            </w:r>
          </w:p>
        </w:tc>
      </w:tr>
      <w:tr w:rsidR="00A538CB" w:rsidRPr="00783DAC" w:rsidTr="00783DAC">
        <w:trPr>
          <w:trHeight w:val="464"/>
        </w:trPr>
        <w:tc>
          <w:tcPr>
            <w:tcW w:w="870" w:type="pct"/>
            <w:shd w:val="pct5" w:color="000000" w:fill="FFFFFF"/>
          </w:tcPr>
          <w:p w:rsidR="00A538CB" w:rsidRPr="0062416A" w:rsidRDefault="00A538CB" w:rsidP="00F4043B">
            <w:r w:rsidRPr="003756C1">
              <w:t xml:space="preserve">Revision </w:t>
            </w:r>
            <w:r>
              <w:t>2</w:t>
            </w:r>
          </w:p>
        </w:tc>
        <w:tc>
          <w:tcPr>
            <w:tcW w:w="746" w:type="pct"/>
            <w:shd w:val="pct5" w:color="000000" w:fill="FFFFFF"/>
          </w:tcPr>
          <w:p w:rsidR="00A538CB" w:rsidRPr="00783DAC" w:rsidRDefault="00A538CB" w:rsidP="00F4043B">
            <w:pPr>
              <w:rPr>
                <w:szCs w:val="20"/>
              </w:rPr>
            </w:pPr>
            <w:r>
              <w:rPr>
                <w:szCs w:val="20"/>
              </w:rPr>
              <w:t>1</w:t>
            </w:r>
            <w:r w:rsidRPr="003756C1">
              <w:rPr>
                <w:szCs w:val="20"/>
              </w:rPr>
              <w:t>/</w:t>
            </w:r>
            <w:r>
              <w:rPr>
                <w:szCs w:val="20"/>
              </w:rPr>
              <w:t>1</w:t>
            </w:r>
            <w:r w:rsidRPr="003756C1">
              <w:rPr>
                <w:szCs w:val="20"/>
              </w:rPr>
              <w:t>/201</w:t>
            </w:r>
            <w:r>
              <w:rPr>
                <w:szCs w:val="20"/>
              </w:rPr>
              <w:t>6</w:t>
            </w:r>
          </w:p>
        </w:tc>
        <w:tc>
          <w:tcPr>
            <w:tcW w:w="1692" w:type="pct"/>
            <w:shd w:val="pct5" w:color="000000" w:fill="FFFFFF"/>
          </w:tcPr>
          <w:p w:rsidR="00A538CB" w:rsidRPr="00783DAC" w:rsidRDefault="00A538CB" w:rsidP="00F4043B">
            <w:pPr>
              <w:rPr>
                <w:szCs w:val="20"/>
              </w:rPr>
            </w:pPr>
            <w:r w:rsidRPr="003756C1">
              <w:rPr>
                <w:szCs w:val="20"/>
              </w:rPr>
              <w:t>Updated hours of operation, EUL per DEER2016</w:t>
            </w:r>
          </w:p>
        </w:tc>
        <w:tc>
          <w:tcPr>
            <w:tcW w:w="1692" w:type="pct"/>
            <w:shd w:val="pct5" w:color="000000" w:fill="FFFFFF"/>
          </w:tcPr>
          <w:p w:rsidR="00A538CB" w:rsidRDefault="00A538CB" w:rsidP="00F4043B">
            <w:pPr>
              <w:rPr>
                <w:bCs/>
                <w:szCs w:val="20"/>
              </w:rPr>
            </w:pPr>
            <w:r>
              <w:rPr>
                <w:bCs/>
                <w:szCs w:val="20"/>
              </w:rPr>
              <w:t>Linda Wan (PG&amp;E)</w:t>
            </w:r>
          </w:p>
          <w:p w:rsidR="00A538CB" w:rsidRPr="00783DAC" w:rsidRDefault="00A538CB" w:rsidP="00F4043B">
            <w:pPr>
              <w:rPr>
                <w:bCs/>
                <w:szCs w:val="20"/>
              </w:rPr>
            </w:pPr>
            <w:r>
              <w:rPr>
                <w:bCs/>
                <w:szCs w:val="20"/>
              </w:rPr>
              <w:t>Tai Voong</w:t>
            </w:r>
            <w:r w:rsidRPr="003756C1">
              <w:rPr>
                <w:bCs/>
                <w:szCs w:val="20"/>
              </w:rPr>
              <w:t xml:space="preserve"> (PG&amp;E)</w:t>
            </w:r>
          </w:p>
        </w:tc>
      </w:tr>
    </w:tbl>
    <w:p w:rsidR="00783DAC" w:rsidRPr="00783DAC" w:rsidRDefault="00783DAC" w:rsidP="00783DAC">
      <w:pPr>
        <w:rPr>
          <w:vanish/>
        </w:rPr>
      </w:pPr>
      <w:bookmarkStart w:id="5" w:name="_Toc186621650"/>
    </w:p>
    <w:p w:rsidR="00E71EF1" w:rsidRDefault="00E71EF1" w:rsidP="00F55847">
      <w:pPr>
        <w:pStyle w:val="Heading1"/>
      </w:pPr>
      <w:bookmarkStart w:id="6" w:name="_Toc304800197"/>
      <w:r w:rsidRPr="006832A4">
        <w:br w:type="page"/>
      </w:r>
      <w:bookmarkStart w:id="7" w:name="_Toc437853342"/>
      <w:r w:rsidR="001248A3">
        <w:lastRenderedPageBreak/>
        <w:t>Table</w:t>
      </w:r>
      <w:r w:rsidR="006559C8">
        <w:t xml:space="preserve"> of Contents</w:t>
      </w:r>
      <w:bookmarkEnd w:id="5"/>
      <w:bookmarkEnd w:id="6"/>
      <w:bookmarkEnd w:id="7"/>
    </w:p>
    <w:p w:rsidR="00777F66" w:rsidRDefault="009F6F8B">
      <w:pPr>
        <w:pStyle w:val="TOC1"/>
        <w:tabs>
          <w:tab w:val="right" w:leader="dot" w:pos="9350"/>
        </w:tabs>
        <w:rPr>
          <w:rFonts w:asciiTheme="minorHAnsi" w:eastAsiaTheme="minorEastAsia" w:hAnsiTheme="minorHAnsi" w:cstheme="minorBidi"/>
          <w:noProof/>
          <w:sz w:val="22"/>
          <w:szCs w:val="22"/>
        </w:rPr>
      </w:pPr>
      <w:r w:rsidRPr="00847090">
        <w:rPr>
          <w:rFonts w:cs="Arial"/>
        </w:rPr>
        <w:fldChar w:fldCharType="begin"/>
      </w:r>
      <w:r w:rsidRPr="00847090">
        <w:rPr>
          <w:rFonts w:cs="Arial"/>
        </w:rPr>
        <w:instrText xml:space="preserve"> TOC \o "1-3" \h \z \u </w:instrText>
      </w:r>
      <w:r w:rsidRPr="00847090">
        <w:rPr>
          <w:rFonts w:cs="Arial"/>
        </w:rPr>
        <w:fldChar w:fldCharType="separate"/>
      </w:r>
      <w:hyperlink w:anchor="_Toc437853340" w:history="1">
        <w:r w:rsidR="00777F66" w:rsidRPr="00A83A73">
          <w:rPr>
            <w:rStyle w:val="Hyperlink"/>
            <w:noProof/>
          </w:rPr>
          <w:t>At-a-Glance Summary</w:t>
        </w:r>
        <w:r w:rsidR="00777F66">
          <w:rPr>
            <w:noProof/>
            <w:webHidden/>
          </w:rPr>
          <w:tab/>
        </w:r>
        <w:r w:rsidR="00777F66">
          <w:rPr>
            <w:noProof/>
            <w:webHidden/>
          </w:rPr>
          <w:fldChar w:fldCharType="begin"/>
        </w:r>
        <w:r w:rsidR="00777F66">
          <w:rPr>
            <w:noProof/>
            <w:webHidden/>
          </w:rPr>
          <w:instrText xml:space="preserve"> PAGEREF _Toc437853340 \h </w:instrText>
        </w:r>
        <w:r w:rsidR="00777F66">
          <w:rPr>
            <w:noProof/>
            <w:webHidden/>
          </w:rPr>
        </w:r>
        <w:r w:rsidR="00777F66">
          <w:rPr>
            <w:noProof/>
            <w:webHidden/>
          </w:rPr>
          <w:fldChar w:fldCharType="separate"/>
        </w:r>
        <w:r w:rsidR="00777F66">
          <w:rPr>
            <w:noProof/>
            <w:webHidden/>
          </w:rPr>
          <w:t>ii</w:t>
        </w:r>
        <w:r w:rsidR="00777F66">
          <w:rPr>
            <w:noProof/>
            <w:webHidden/>
          </w:rPr>
          <w:fldChar w:fldCharType="end"/>
        </w:r>
      </w:hyperlink>
    </w:p>
    <w:p w:rsidR="00777F66" w:rsidRDefault="00777F66">
      <w:pPr>
        <w:pStyle w:val="TOC1"/>
        <w:tabs>
          <w:tab w:val="right" w:leader="dot" w:pos="9350"/>
        </w:tabs>
        <w:rPr>
          <w:rFonts w:asciiTheme="minorHAnsi" w:eastAsiaTheme="minorEastAsia" w:hAnsiTheme="minorHAnsi" w:cstheme="minorBidi"/>
          <w:noProof/>
          <w:sz w:val="22"/>
          <w:szCs w:val="22"/>
        </w:rPr>
      </w:pPr>
      <w:hyperlink w:anchor="_Toc437853341" w:history="1">
        <w:r w:rsidRPr="00A83A73">
          <w:rPr>
            <w:rStyle w:val="Hyperlink"/>
            <w:noProof/>
          </w:rPr>
          <w:t>Document Revision History</w:t>
        </w:r>
        <w:r>
          <w:rPr>
            <w:noProof/>
            <w:webHidden/>
          </w:rPr>
          <w:tab/>
        </w:r>
        <w:r>
          <w:rPr>
            <w:noProof/>
            <w:webHidden/>
          </w:rPr>
          <w:fldChar w:fldCharType="begin"/>
        </w:r>
        <w:r>
          <w:rPr>
            <w:noProof/>
            <w:webHidden/>
          </w:rPr>
          <w:instrText xml:space="preserve"> PAGEREF _Toc437853341 \h </w:instrText>
        </w:r>
        <w:r>
          <w:rPr>
            <w:noProof/>
            <w:webHidden/>
          </w:rPr>
        </w:r>
        <w:r>
          <w:rPr>
            <w:noProof/>
            <w:webHidden/>
          </w:rPr>
          <w:fldChar w:fldCharType="separate"/>
        </w:r>
        <w:r>
          <w:rPr>
            <w:noProof/>
            <w:webHidden/>
          </w:rPr>
          <w:t>iii</w:t>
        </w:r>
        <w:r>
          <w:rPr>
            <w:noProof/>
            <w:webHidden/>
          </w:rPr>
          <w:fldChar w:fldCharType="end"/>
        </w:r>
      </w:hyperlink>
    </w:p>
    <w:p w:rsidR="00777F66" w:rsidRDefault="00777F66">
      <w:pPr>
        <w:pStyle w:val="TOC1"/>
        <w:tabs>
          <w:tab w:val="right" w:leader="dot" w:pos="9350"/>
        </w:tabs>
        <w:rPr>
          <w:rFonts w:asciiTheme="minorHAnsi" w:eastAsiaTheme="minorEastAsia" w:hAnsiTheme="minorHAnsi" w:cstheme="minorBidi"/>
          <w:noProof/>
          <w:sz w:val="22"/>
          <w:szCs w:val="22"/>
        </w:rPr>
      </w:pPr>
      <w:hyperlink w:anchor="_Toc437853342" w:history="1">
        <w:r w:rsidRPr="00A83A73">
          <w:rPr>
            <w:rStyle w:val="Hyperlink"/>
            <w:noProof/>
          </w:rPr>
          <w:t>Table of Contents</w:t>
        </w:r>
        <w:r>
          <w:rPr>
            <w:noProof/>
            <w:webHidden/>
          </w:rPr>
          <w:tab/>
        </w:r>
        <w:r>
          <w:rPr>
            <w:noProof/>
            <w:webHidden/>
          </w:rPr>
          <w:fldChar w:fldCharType="begin"/>
        </w:r>
        <w:r>
          <w:rPr>
            <w:noProof/>
            <w:webHidden/>
          </w:rPr>
          <w:instrText xml:space="preserve"> PAGEREF _Toc437853342 \h </w:instrText>
        </w:r>
        <w:r>
          <w:rPr>
            <w:noProof/>
            <w:webHidden/>
          </w:rPr>
        </w:r>
        <w:r>
          <w:rPr>
            <w:noProof/>
            <w:webHidden/>
          </w:rPr>
          <w:fldChar w:fldCharType="separate"/>
        </w:r>
        <w:r>
          <w:rPr>
            <w:noProof/>
            <w:webHidden/>
          </w:rPr>
          <w:t>iv</w:t>
        </w:r>
        <w:r>
          <w:rPr>
            <w:noProof/>
            <w:webHidden/>
          </w:rPr>
          <w:fldChar w:fldCharType="end"/>
        </w:r>
      </w:hyperlink>
    </w:p>
    <w:p w:rsidR="00777F66" w:rsidRDefault="00777F66">
      <w:pPr>
        <w:pStyle w:val="TOC1"/>
        <w:tabs>
          <w:tab w:val="right" w:leader="dot" w:pos="9350"/>
        </w:tabs>
        <w:rPr>
          <w:rFonts w:asciiTheme="minorHAnsi" w:eastAsiaTheme="minorEastAsia" w:hAnsiTheme="minorHAnsi" w:cstheme="minorBidi"/>
          <w:noProof/>
          <w:sz w:val="22"/>
          <w:szCs w:val="22"/>
        </w:rPr>
      </w:pPr>
      <w:hyperlink w:anchor="_Toc437853343" w:history="1">
        <w:r w:rsidRPr="00A83A73">
          <w:rPr>
            <w:rStyle w:val="Hyperlink"/>
            <w:noProof/>
          </w:rPr>
          <w:t>List of Tables</w:t>
        </w:r>
        <w:r>
          <w:rPr>
            <w:noProof/>
            <w:webHidden/>
          </w:rPr>
          <w:tab/>
        </w:r>
        <w:r>
          <w:rPr>
            <w:noProof/>
            <w:webHidden/>
          </w:rPr>
          <w:fldChar w:fldCharType="begin"/>
        </w:r>
        <w:r>
          <w:rPr>
            <w:noProof/>
            <w:webHidden/>
          </w:rPr>
          <w:instrText xml:space="preserve"> PAGEREF _Toc437853343 \h </w:instrText>
        </w:r>
        <w:r>
          <w:rPr>
            <w:noProof/>
            <w:webHidden/>
          </w:rPr>
        </w:r>
        <w:r>
          <w:rPr>
            <w:noProof/>
            <w:webHidden/>
          </w:rPr>
          <w:fldChar w:fldCharType="separate"/>
        </w:r>
        <w:r>
          <w:rPr>
            <w:noProof/>
            <w:webHidden/>
          </w:rPr>
          <w:t>iv</w:t>
        </w:r>
        <w:r>
          <w:rPr>
            <w:noProof/>
            <w:webHidden/>
          </w:rPr>
          <w:fldChar w:fldCharType="end"/>
        </w:r>
      </w:hyperlink>
    </w:p>
    <w:p w:rsidR="00777F66" w:rsidRDefault="00777F66">
      <w:pPr>
        <w:pStyle w:val="TOC1"/>
        <w:tabs>
          <w:tab w:val="right" w:leader="dot" w:pos="9350"/>
        </w:tabs>
        <w:rPr>
          <w:rFonts w:asciiTheme="minorHAnsi" w:eastAsiaTheme="minorEastAsia" w:hAnsiTheme="minorHAnsi" w:cstheme="minorBidi"/>
          <w:noProof/>
          <w:sz w:val="22"/>
          <w:szCs w:val="22"/>
        </w:rPr>
      </w:pPr>
      <w:hyperlink w:anchor="_Toc437853344" w:history="1">
        <w:r w:rsidRPr="00A83A73">
          <w:rPr>
            <w:rStyle w:val="Hyperlink"/>
            <w:noProof/>
          </w:rPr>
          <w:t>Section 1. General Measure &amp; Baseline Data</w:t>
        </w:r>
        <w:r>
          <w:rPr>
            <w:noProof/>
            <w:webHidden/>
          </w:rPr>
          <w:tab/>
        </w:r>
        <w:r>
          <w:rPr>
            <w:noProof/>
            <w:webHidden/>
          </w:rPr>
          <w:fldChar w:fldCharType="begin"/>
        </w:r>
        <w:r>
          <w:rPr>
            <w:noProof/>
            <w:webHidden/>
          </w:rPr>
          <w:instrText xml:space="preserve"> PAGEREF _Toc437853344 \h </w:instrText>
        </w:r>
        <w:r>
          <w:rPr>
            <w:noProof/>
            <w:webHidden/>
          </w:rPr>
        </w:r>
        <w:r>
          <w:rPr>
            <w:noProof/>
            <w:webHidden/>
          </w:rPr>
          <w:fldChar w:fldCharType="separate"/>
        </w:r>
        <w:r>
          <w:rPr>
            <w:noProof/>
            <w:webHidden/>
          </w:rPr>
          <w:t>1</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45" w:history="1">
        <w:r w:rsidRPr="00A83A73">
          <w:rPr>
            <w:rStyle w:val="Hyperlink"/>
            <w:noProof/>
          </w:rPr>
          <w:t>1.1 Product Measure Description &amp; Background</w:t>
        </w:r>
        <w:r>
          <w:rPr>
            <w:noProof/>
            <w:webHidden/>
          </w:rPr>
          <w:tab/>
        </w:r>
        <w:r>
          <w:rPr>
            <w:noProof/>
            <w:webHidden/>
          </w:rPr>
          <w:fldChar w:fldCharType="begin"/>
        </w:r>
        <w:r>
          <w:rPr>
            <w:noProof/>
            <w:webHidden/>
          </w:rPr>
          <w:instrText xml:space="preserve"> PAGEREF _Toc437853345 \h </w:instrText>
        </w:r>
        <w:r>
          <w:rPr>
            <w:noProof/>
            <w:webHidden/>
          </w:rPr>
        </w:r>
        <w:r>
          <w:rPr>
            <w:noProof/>
            <w:webHidden/>
          </w:rPr>
          <w:fldChar w:fldCharType="separate"/>
        </w:r>
        <w:r>
          <w:rPr>
            <w:noProof/>
            <w:webHidden/>
          </w:rPr>
          <w:t>1</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46" w:history="1">
        <w:r w:rsidRPr="00A83A73">
          <w:rPr>
            <w:rStyle w:val="Hyperlink"/>
            <w:noProof/>
          </w:rPr>
          <w:t>1.3 Measure Application Type</w:t>
        </w:r>
        <w:r>
          <w:rPr>
            <w:noProof/>
            <w:webHidden/>
          </w:rPr>
          <w:tab/>
        </w:r>
        <w:r>
          <w:rPr>
            <w:noProof/>
            <w:webHidden/>
          </w:rPr>
          <w:fldChar w:fldCharType="begin"/>
        </w:r>
        <w:r>
          <w:rPr>
            <w:noProof/>
            <w:webHidden/>
          </w:rPr>
          <w:instrText xml:space="preserve"> PAGEREF _Toc437853346 \h </w:instrText>
        </w:r>
        <w:r>
          <w:rPr>
            <w:noProof/>
            <w:webHidden/>
          </w:rPr>
        </w:r>
        <w:r>
          <w:rPr>
            <w:noProof/>
            <w:webHidden/>
          </w:rPr>
          <w:fldChar w:fldCharType="separate"/>
        </w:r>
        <w:r>
          <w:rPr>
            <w:noProof/>
            <w:webHidden/>
          </w:rPr>
          <w:t>4</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47" w:history="1">
        <w:r w:rsidRPr="00A83A73">
          <w:rPr>
            <w:rStyle w:val="Hyperlink"/>
            <w:noProof/>
          </w:rPr>
          <w:t>1.4 Product Base Case and Measure Case Data</w:t>
        </w:r>
        <w:r>
          <w:rPr>
            <w:noProof/>
            <w:webHidden/>
          </w:rPr>
          <w:tab/>
        </w:r>
        <w:r>
          <w:rPr>
            <w:noProof/>
            <w:webHidden/>
          </w:rPr>
          <w:fldChar w:fldCharType="begin"/>
        </w:r>
        <w:r>
          <w:rPr>
            <w:noProof/>
            <w:webHidden/>
          </w:rPr>
          <w:instrText xml:space="preserve"> PAGEREF _Toc437853347 \h </w:instrText>
        </w:r>
        <w:r>
          <w:rPr>
            <w:noProof/>
            <w:webHidden/>
          </w:rPr>
        </w:r>
        <w:r>
          <w:rPr>
            <w:noProof/>
            <w:webHidden/>
          </w:rPr>
          <w:fldChar w:fldCharType="separate"/>
        </w:r>
        <w:r>
          <w:rPr>
            <w:noProof/>
            <w:webHidden/>
          </w:rPr>
          <w:t>5</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48" w:history="1">
        <w:r w:rsidRPr="00A83A73">
          <w:rPr>
            <w:rStyle w:val="Hyperlink"/>
            <w:noProof/>
          </w:rPr>
          <w:t>1.4.1 DEER Base Case and Measure Case Information</w:t>
        </w:r>
        <w:r>
          <w:rPr>
            <w:noProof/>
            <w:webHidden/>
          </w:rPr>
          <w:tab/>
        </w:r>
        <w:r>
          <w:rPr>
            <w:noProof/>
            <w:webHidden/>
          </w:rPr>
          <w:fldChar w:fldCharType="begin"/>
        </w:r>
        <w:r>
          <w:rPr>
            <w:noProof/>
            <w:webHidden/>
          </w:rPr>
          <w:instrText xml:space="preserve"> PAGEREF _Toc437853348 \h </w:instrText>
        </w:r>
        <w:r>
          <w:rPr>
            <w:noProof/>
            <w:webHidden/>
          </w:rPr>
        </w:r>
        <w:r>
          <w:rPr>
            <w:noProof/>
            <w:webHidden/>
          </w:rPr>
          <w:fldChar w:fldCharType="separate"/>
        </w:r>
        <w:r>
          <w:rPr>
            <w:noProof/>
            <w:webHidden/>
          </w:rPr>
          <w:t>5</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49" w:history="1">
        <w:r w:rsidRPr="00A83A73">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_Toc437853349 \h </w:instrText>
        </w:r>
        <w:r>
          <w:rPr>
            <w:noProof/>
            <w:webHidden/>
          </w:rPr>
        </w:r>
        <w:r>
          <w:rPr>
            <w:noProof/>
            <w:webHidden/>
          </w:rPr>
          <w:fldChar w:fldCharType="separate"/>
        </w:r>
        <w:r>
          <w:rPr>
            <w:noProof/>
            <w:webHidden/>
          </w:rPr>
          <w:t>6</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50" w:history="1">
        <w:r w:rsidRPr="00A83A73">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_Toc437853350 \h </w:instrText>
        </w:r>
        <w:r>
          <w:rPr>
            <w:noProof/>
            <w:webHidden/>
          </w:rPr>
        </w:r>
        <w:r>
          <w:rPr>
            <w:noProof/>
            <w:webHidden/>
          </w:rPr>
          <w:fldChar w:fldCharType="separate"/>
        </w:r>
        <w:r>
          <w:rPr>
            <w:noProof/>
            <w:webHidden/>
          </w:rPr>
          <w:t>7</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51" w:history="1">
        <w:r w:rsidRPr="00A83A73">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_Toc437853351 \h </w:instrText>
        </w:r>
        <w:r>
          <w:rPr>
            <w:noProof/>
            <w:webHidden/>
          </w:rPr>
        </w:r>
        <w:r>
          <w:rPr>
            <w:noProof/>
            <w:webHidden/>
          </w:rPr>
          <w:fldChar w:fldCharType="separate"/>
        </w:r>
        <w:r>
          <w:rPr>
            <w:noProof/>
            <w:webHidden/>
          </w:rPr>
          <w:t>7</w:t>
        </w:r>
        <w:r>
          <w:rPr>
            <w:noProof/>
            <w:webHidden/>
          </w:rPr>
          <w:fldChar w:fldCharType="end"/>
        </w:r>
      </w:hyperlink>
    </w:p>
    <w:p w:rsidR="00777F66" w:rsidRDefault="00777F66">
      <w:pPr>
        <w:pStyle w:val="TOC1"/>
        <w:tabs>
          <w:tab w:val="right" w:leader="dot" w:pos="9350"/>
        </w:tabs>
        <w:rPr>
          <w:rFonts w:asciiTheme="minorHAnsi" w:eastAsiaTheme="minorEastAsia" w:hAnsiTheme="minorHAnsi" w:cstheme="minorBidi"/>
          <w:noProof/>
          <w:sz w:val="22"/>
          <w:szCs w:val="22"/>
        </w:rPr>
      </w:pPr>
      <w:hyperlink w:anchor="_Toc437853352" w:history="1">
        <w:r w:rsidRPr="00A83A73">
          <w:rPr>
            <w:rStyle w:val="Hyperlink"/>
            <w:noProof/>
          </w:rPr>
          <w:t>Section 2. Calculation Methods</w:t>
        </w:r>
        <w:r>
          <w:rPr>
            <w:noProof/>
            <w:webHidden/>
          </w:rPr>
          <w:tab/>
        </w:r>
        <w:r>
          <w:rPr>
            <w:noProof/>
            <w:webHidden/>
          </w:rPr>
          <w:fldChar w:fldCharType="begin"/>
        </w:r>
        <w:r>
          <w:rPr>
            <w:noProof/>
            <w:webHidden/>
          </w:rPr>
          <w:instrText xml:space="preserve"> PAGEREF _Toc437853352 \h </w:instrText>
        </w:r>
        <w:r>
          <w:rPr>
            <w:noProof/>
            <w:webHidden/>
          </w:rPr>
        </w:r>
        <w:r>
          <w:rPr>
            <w:noProof/>
            <w:webHidden/>
          </w:rPr>
          <w:fldChar w:fldCharType="separate"/>
        </w:r>
        <w:r>
          <w:rPr>
            <w:noProof/>
            <w:webHidden/>
          </w:rPr>
          <w:t>9</w:t>
        </w:r>
        <w:r>
          <w:rPr>
            <w:noProof/>
            <w:webHidden/>
          </w:rPr>
          <w:fldChar w:fldCharType="end"/>
        </w:r>
      </w:hyperlink>
    </w:p>
    <w:p w:rsidR="00777F66" w:rsidRDefault="00777F66">
      <w:pPr>
        <w:pStyle w:val="TOC3"/>
        <w:tabs>
          <w:tab w:val="right" w:leader="dot" w:pos="9350"/>
        </w:tabs>
        <w:rPr>
          <w:rFonts w:asciiTheme="minorHAnsi" w:eastAsiaTheme="minorEastAsia" w:hAnsiTheme="minorHAnsi" w:cstheme="minorBidi"/>
          <w:noProof/>
          <w:sz w:val="22"/>
          <w:szCs w:val="22"/>
        </w:rPr>
      </w:pPr>
      <w:hyperlink w:anchor="_Toc437853353" w:history="1">
        <w:r w:rsidRPr="00A83A73">
          <w:rPr>
            <w:rStyle w:val="Hyperlink"/>
            <w:noProof/>
          </w:rPr>
          <w:t>2.0.1 Compressor Savings</w:t>
        </w:r>
        <w:r>
          <w:rPr>
            <w:noProof/>
            <w:webHidden/>
          </w:rPr>
          <w:tab/>
        </w:r>
        <w:r>
          <w:rPr>
            <w:noProof/>
            <w:webHidden/>
          </w:rPr>
          <w:fldChar w:fldCharType="begin"/>
        </w:r>
        <w:r>
          <w:rPr>
            <w:noProof/>
            <w:webHidden/>
          </w:rPr>
          <w:instrText xml:space="preserve"> PAGEREF _Toc437853353 \h </w:instrText>
        </w:r>
        <w:r>
          <w:rPr>
            <w:noProof/>
            <w:webHidden/>
          </w:rPr>
        </w:r>
        <w:r>
          <w:rPr>
            <w:noProof/>
            <w:webHidden/>
          </w:rPr>
          <w:fldChar w:fldCharType="separate"/>
        </w:r>
        <w:r>
          <w:rPr>
            <w:noProof/>
            <w:webHidden/>
          </w:rPr>
          <w:t>9</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54" w:history="1">
        <w:r w:rsidRPr="00A83A73">
          <w:rPr>
            <w:rStyle w:val="Hyperlink"/>
            <w:noProof/>
          </w:rPr>
          <w:t>2.1 Electric Energy Savings Estimation Methodologies</w:t>
        </w:r>
        <w:r>
          <w:rPr>
            <w:noProof/>
            <w:webHidden/>
          </w:rPr>
          <w:tab/>
        </w:r>
        <w:r>
          <w:rPr>
            <w:noProof/>
            <w:webHidden/>
          </w:rPr>
          <w:fldChar w:fldCharType="begin"/>
        </w:r>
        <w:r>
          <w:rPr>
            <w:noProof/>
            <w:webHidden/>
          </w:rPr>
          <w:instrText xml:space="preserve"> PAGEREF _Toc437853354 \h </w:instrText>
        </w:r>
        <w:r>
          <w:rPr>
            <w:noProof/>
            <w:webHidden/>
          </w:rPr>
        </w:r>
        <w:r>
          <w:rPr>
            <w:noProof/>
            <w:webHidden/>
          </w:rPr>
          <w:fldChar w:fldCharType="separate"/>
        </w:r>
        <w:r>
          <w:rPr>
            <w:noProof/>
            <w:webHidden/>
          </w:rPr>
          <w:t>9</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55" w:history="1">
        <w:r w:rsidRPr="00A83A73">
          <w:rPr>
            <w:rStyle w:val="Hyperlink"/>
            <w:noProof/>
          </w:rPr>
          <w:t>2.2. Demand Reduction Estimation Methodologies</w:t>
        </w:r>
        <w:r>
          <w:rPr>
            <w:noProof/>
            <w:webHidden/>
          </w:rPr>
          <w:tab/>
        </w:r>
        <w:r>
          <w:rPr>
            <w:noProof/>
            <w:webHidden/>
          </w:rPr>
          <w:fldChar w:fldCharType="begin"/>
        </w:r>
        <w:r>
          <w:rPr>
            <w:noProof/>
            <w:webHidden/>
          </w:rPr>
          <w:instrText xml:space="preserve"> PAGEREF _Toc437853355 \h </w:instrText>
        </w:r>
        <w:r>
          <w:rPr>
            <w:noProof/>
            <w:webHidden/>
          </w:rPr>
        </w:r>
        <w:r>
          <w:rPr>
            <w:noProof/>
            <w:webHidden/>
          </w:rPr>
          <w:fldChar w:fldCharType="separate"/>
        </w:r>
        <w:r>
          <w:rPr>
            <w:noProof/>
            <w:webHidden/>
          </w:rPr>
          <w:t>11</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56" w:history="1">
        <w:r w:rsidRPr="00A83A73">
          <w:rPr>
            <w:rStyle w:val="Hyperlink"/>
            <w:noProof/>
          </w:rPr>
          <w:t>2.3. Gas Energy Savings Estimation Methodologies</w:t>
        </w:r>
        <w:r>
          <w:rPr>
            <w:noProof/>
            <w:webHidden/>
          </w:rPr>
          <w:tab/>
        </w:r>
        <w:r>
          <w:rPr>
            <w:noProof/>
            <w:webHidden/>
          </w:rPr>
          <w:fldChar w:fldCharType="begin"/>
        </w:r>
        <w:r>
          <w:rPr>
            <w:noProof/>
            <w:webHidden/>
          </w:rPr>
          <w:instrText xml:space="preserve"> PAGEREF _Toc437853356 \h </w:instrText>
        </w:r>
        <w:r>
          <w:rPr>
            <w:noProof/>
            <w:webHidden/>
          </w:rPr>
        </w:r>
        <w:r>
          <w:rPr>
            <w:noProof/>
            <w:webHidden/>
          </w:rPr>
          <w:fldChar w:fldCharType="separate"/>
        </w:r>
        <w:r>
          <w:rPr>
            <w:noProof/>
            <w:webHidden/>
          </w:rPr>
          <w:t>11</w:t>
        </w:r>
        <w:r>
          <w:rPr>
            <w:noProof/>
            <w:webHidden/>
          </w:rPr>
          <w:fldChar w:fldCharType="end"/>
        </w:r>
      </w:hyperlink>
    </w:p>
    <w:p w:rsidR="00777F66" w:rsidRDefault="00777F66">
      <w:pPr>
        <w:pStyle w:val="TOC1"/>
        <w:tabs>
          <w:tab w:val="right" w:leader="dot" w:pos="9350"/>
        </w:tabs>
        <w:rPr>
          <w:rFonts w:asciiTheme="minorHAnsi" w:eastAsiaTheme="minorEastAsia" w:hAnsiTheme="minorHAnsi" w:cstheme="minorBidi"/>
          <w:noProof/>
          <w:sz w:val="22"/>
          <w:szCs w:val="22"/>
        </w:rPr>
      </w:pPr>
      <w:hyperlink w:anchor="_Toc437853357" w:history="1">
        <w:r w:rsidRPr="00A83A73">
          <w:rPr>
            <w:rStyle w:val="Hyperlink"/>
            <w:noProof/>
          </w:rPr>
          <w:t>Section 3. Load Shapes</w:t>
        </w:r>
        <w:r>
          <w:rPr>
            <w:noProof/>
            <w:webHidden/>
          </w:rPr>
          <w:tab/>
        </w:r>
        <w:r>
          <w:rPr>
            <w:noProof/>
            <w:webHidden/>
          </w:rPr>
          <w:fldChar w:fldCharType="begin"/>
        </w:r>
        <w:r>
          <w:rPr>
            <w:noProof/>
            <w:webHidden/>
          </w:rPr>
          <w:instrText xml:space="preserve"> PAGEREF _Toc437853357 \h </w:instrText>
        </w:r>
        <w:r>
          <w:rPr>
            <w:noProof/>
            <w:webHidden/>
          </w:rPr>
        </w:r>
        <w:r>
          <w:rPr>
            <w:noProof/>
            <w:webHidden/>
          </w:rPr>
          <w:fldChar w:fldCharType="separate"/>
        </w:r>
        <w:r>
          <w:rPr>
            <w:noProof/>
            <w:webHidden/>
          </w:rPr>
          <w:t>12</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58" w:history="1">
        <w:r w:rsidRPr="00A83A73">
          <w:rPr>
            <w:rStyle w:val="Hyperlink"/>
            <w:noProof/>
          </w:rPr>
          <w:t>3.1 Base Case Load Shapes</w:t>
        </w:r>
        <w:r>
          <w:rPr>
            <w:noProof/>
            <w:webHidden/>
          </w:rPr>
          <w:tab/>
        </w:r>
        <w:r>
          <w:rPr>
            <w:noProof/>
            <w:webHidden/>
          </w:rPr>
          <w:fldChar w:fldCharType="begin"/>
        </w:r>
        <w:r>
          <w:rPr>
            <w:noProof/>
            <w:webHidden/>
          </w:rPr>
          <w:instrText xml:space="preserve"> PAGEREF _Toc437853358 \h </w:instrText>
        </w:r>
        <w:r>
          <w:rPr>
            <w:noProof/>
            <w:webHidden/>
          </w:rPr>
        </w:r>
        <w:r>
          <w:rPr>
            <w:noProof/>
            <w:webHidden/>
          </w:rPr>
          <w:fldChar w:fldCharType="separate"/>
        </w:r>
        <w:r>
          <w:rPr>
            <w:noProof/>
            <w:webHidden/>
          </w:rPr>
          <w:t>12</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59" w:history="1">
        <w:r w:rsidRPr="00A83A73">
          <w:rPr>
            <w:rStyle w:val="Hyperlink"/>
            <w:noProof/>
          </w:rPr>
          <w:t>3.2 Measure Load Shapes</w:t>
        </w:r>
        <w:r>
          <w:rPr>
            <w:noProof/>
            <w:webHidden/>
          </w:rPr>
          <w:tab/>
        </w:r>
        <w:r>
          <w:rPr>
            <w:noProof/>
            <w:webHidden/>
          </w:rPr>
          <w:fldChar w:fldCharType="begin"/>
        </w:r>
        <w:r>
          <w:rPr>
            <w:noProof/>
            <w:webHidden/>
          </w:rPr>
          <w:instrText xml:space="preserve"> PAGEREF _Toc437853359 \h </w:instrText>
        </w:r>
        <w:r>
          <w:rPr>
            <w:noProof/>
            <w:webHidden/>
          </w:rPr>
        </w:r>
        <w:r>
          <w:rPr>
            <w:noProof/>
            <w:webHidden/>
          </w:rPr>
          <w:fldChar w:fldCharType="separate"/>
        </w:r>
        <w:r>
          <w:rPr>
            <w:noProof/>
            <w:webHidden/>
          </w:rPr>
          <w:t>12</w:t>
        </w:r>
        <w:r>
          <w:rPr>
            <w:noProof/>
            <w:webHidden/>
          </w:rPr>
          <w:fldChar w:fldCharType="end"/>
        </w:r>
      </w:hyperlink>
    </w:p>
    <w:p w:rsidR="00777F66" w:rsidRDefault="00777F66">
      <w:pPr>
        <w:pStyle w:val="TOC1"/>
        <w:tabs>
          <w:tab w:val="right" w:leader="dot" w:pos="9350"/>
        </w:tabs>
        <w:rPr>
          <w:rFonts w:asciiTheme="minorHAnsi" w:eastAsiaTheme="minorEastAsia" w:hAnsiTheme="minorHAnsi" w:cstheme="minorBidi"/>
          <w:noProof/>
          <w:sz w:val="22"/>
          <w:szCs w:val="22"/>
        </w:rPr>
      </w:pPr>
      <w:hyperlink w:anchor="_Toc437853360" w:history="1">
        <w:r w:rsidRPr="00A83A73">
          <w:rPr>
            <w:rStyle w:val="Hyperlink"/>
            <w:noProof/>
          </w:rPr>
          <w:t>Section 4. Base Case &amp; Measure Costs</w:t>
        </w:r>
        <w:r>
          <w:rPr>
            <w:noProof/>
            <w:webHidden/>
          </w:rPr>
          <w:tab/>
        </w:r>
        <w:r>
          <w:rPr>
            <w:noProof/>
            <w:webHidden/>
          </w:rPr>
          <w:fldChar w:fldCharType="begin"/>
        </w:r>
        <w:r>
          <w:rPr>
            <w:noProof/>
            <w:webHidden/>
          </w:rPr>
          <w:instrText xml:space="preserve"> PAGEREF _Toc437853360 \h </w:instrText>
        </w:r>
        <w:r>
          <w:rPr>
            <w:noProof/>
            <w:webHidden/>
          </w:rPr>
        </w:r>
        <w:r>
          <w:rPr>
            <w:noProof/>
            <w:webHidden/>
          </w:rPr>
          <w:fldChar w:fldCharType="separate"/>
        </w:r>
        <w:r>
          <w:rPr>
            <w:noProof/>
            <w:webHidden/>
          </w:rPr>
          <w:t>13</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61" w:history="1">
        <w:r w:rsidRPr="00A83A73">
          <w:rPr>
            <w:rStyle w:val="Hyperlink"/>
            <w:noProof/>
          </w:rPr>
          <w:t>4.1 Base Case(s) Costs</w:t>
        </w:r>
        <w:r>
          <w:rPr>
            <w:noProof/>
            <w:webHidden/>
          </w:rPr>
          <w:tab/>
        </w:r>
        <w:r>
          <w:rPr>
            <w:noProof/>
            <w:webHidden/>
          </w:rPr>
          <w:fldChar w:fldCharType="begin"/>
        </w:r>
        <w:r>
          <w:rPr>
            <w:noProof/>
            <w:webHidden/>
          </w:rPr>
          <w:instrText xml:space="preserve"> PAGEREF _Toc437853361 \h </w:instrText>
        </w:r>
        <w:r>
          <w:rPr>
            <w:noProof/>
            <w:webHidden/>
          </w:rPr>
        </w:r>
        <w:r>
          <w:rPr>
            <w:noProof/>
            <w:webHidden/>
          </w:rPr>
          <w:fldChar w:fldCharType="separate"/>
        </w:r>
        <w:r>
          <w:rPr>
            <w:noProof/>
            <w:webHidden/>
          </w:rPr>
          <w:t>13</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62" w:history="1">
        <w:r w:rsidRPr="00A83A73">
          <w:rPr>
            <w:rStyle w:val="Hyperlink"/>
            <w:noProof/>
          </w:rPr>
          <w:t>4.2 Measure Case Costs</w:t>
        </w:r>
        <w:r>
          <w:rPr>
            <w:noProof/>
            <w:webHidden/>
          </w:rPr>
          <w:tab/>
        </w:r>
        <w:r>
          <w:rPr>
            <w:noProof/>
            <w:webHidden/>
          </w:rPr>
          <w:fldChar w:fldCharType="begin"/>
        </w:r>
        <w:r>
          <w:rPr>
            <w:noProof/>
            <w:webHidden/>
          </w:rPr>
          <w:instrText xml:space="preserve"> PAGEREF _Toc437853362 \h </w:instrText>
        </w:r>
        <w:r>
          <w:rPr>
            <w:noProof/>
            <w:webHidden/>
          </w:rPr>
        </w:r>
        <w:r>
          <w:rPr>
            <w:noProof/>
            <w:webHidden/>
          </w:rPr>
          <w:fldChar w:fldCharType="separate"/>
        </w:r>
        <w:r>
          <w:rPr>
            <w:noProof/>
            <w:webHidden/>
          </w:rPr>
          <w:t>13</w:t>
        </w:r>
        <w:r>
          <w:rPr>
            <w:noProof/>
            <w:webHidden/>
          </w:rPr>
          <w:fldChar w:fldCharType="end"/>
        </w:r>
      </w:hyperlink>
    </w:p>
    <w:p w:rsidR="00777F66" w:rsidRDefault="00777F66">
      <w:pPr>
        <w:pStyle w:val="TOC2"/>
        <w:tabs>
          <w:tab w:val="right" w:leader="dot" w:pos="9350"/>
        </w:tabs>
        <w:rPr>
          <w:rFonts w:asciiTheme="minorHAnsi" w:eastAsiaTheme="minorEastAsia" w:hAnsiTheme="minorHAnsi" w:cstheme="minorBidi"/>
          <w:noProof/>
          <w:sz w:val="22"/>
          <w:szCs w:val="22"/>
        </w:rPr>
      </w:pPr>
      <w:hyperlink w:anchor="_Toc437853363" w:history="1">
        <w:r w:rsidRPr="00A83A73">
          <w:rPr>
            <w:rStyle w:val="Hyperlink"/>
            <w:noProof/>
          </w:rPr>
          <w:t>4.3 Incremental &amp; Full Measure Costs</w:t>
        </w:r>
        <w:r>
          <w:rPr>
            <w:noProof/>
            <w:webHidden/>
          </w:rPr>
          <w:tab/>
        </w:r>
        <w:r>
          <w:rPr>
            <w:noProof/>
            <w:webHidden/>
          </w:rPr>
          <w:fldChar w:fldCharType="begin"/>
        </w:r>
        <w:r>
          <w:rPr>
            <w:noProof/>
            <w:webHidden/>
          </w:rPr>
          <w:instrText xml:space="preserve"> PAGEREF _Toc437853363 \h </w:instrText>
        </w:r>
        <w:r>
          <w:rPr>
            <w:noProof/>
            <w:webHidden/>
          </w:rPr>
        </w:r>
        <w:r>
          <w:rPr>
            <w:noProof/>
            <w:webHidden/>
          </w:rPr>
          <w:fldChar w:fldCharType="separate"/>
        </w:r>
        <w:r>
          <w:rPr>
            <w:noProof/>
            <w:webHidden/>
          </w:rPr>
          <w:t>14</w:t>
        </w:r>
        <w:r>
          <w:rPr>
            <w:noProof/>
            <w:webHidden/>
          </w:rPr>
          <w:fldChar w:fldCharType="end"/>
        </w:r>
      </w:hyperlink>
    </w:p>
    <w:p w:rsidR="00777F66" w:rsidRDefault="00777F66">
      <w:pPr>
        <w:pStyle w:val="TOC1"/>
        <w:tabs>
          <w:tab w:val="right" w:leader="dot" w:pos="9350"/>
        </w:tabs>
        <w:rPr>
          <w:rFonts w:asciiTheme="minorHAnsi" w:eastAsiaTheme="minorEastAsia" w:hAnsiTheme="minorHAnsi" w:cstheme="minorBidi"/>
          <w:noProof/>
          <w:sz w:val="22"/>
          <w:szCs w:val="22"/>
        </w:rPr>
      </w:pPr>
      <w:hyperlink w:anchor="_Toc437853364" w:history="1">
        <w:r w:rsidRPr="00A83A73">
          <w:rPr>
            <w:rStyle w:val="Hyperlink"/>
            <w:i/>
            <w:noProof/>
          </w:rPr>
          <w:t>4.3.1 Full Measure Cost</w:t>
        </w:r>
        <w:r>
          <w:rPr>
            <w:noProof/>
            <w:webHidden/>
          </w:rPr>
          <w:tab/>
        </w:r>
        <w:r>
          <w:rPr>
            <w:noProof/>
            <w:webHidden/>
          </w:rPr>
          <w:fldChar w:fldCharType="begin"/>
        </w:r>
        <w:r>
          <w:rPr>
            <w:noProof/>
            <w:webHidden/>
          </w:rPr>
          <w:instrText xml:space="preserve"> PAGEREF _Toc437853364 \h </w:instrText>
        </w:r>
        <w:r>
          <w:rPr>
            <w:noProof/>
            <w:webHidden/>
          </w:rPr>
        </w:r>
        <w:r>
          <w:rPr>
            <w:noProof/>
            <w:webHidden/>
          </w:rPr>
          <w:fldChar w:fldCharType="separate"/>
        </w:r>
        <w:r>
          <w:rPr>
            <w:noProof/>
            <w:webHidden/>
          </w:rPr>
          <w:t>14</w:t>
        </w:r>
        <w:r>
          <w:rPr>
            <w:noProof/>
            <w:webHidden/>
          </w:rPr>
          <w:fldChar w:fldCharType="end"/>
        </w:r>
      </w:hyperlink>
    </w:p>
    <w:p w:rsidR="00777F66" w:rsidRDefault="00777F66">
      <w:pPr>
        <w:pStyle w:val="TOC1"/>
        <w:tabs>
          <w:tab w:val="left" w:pos="880"/>
          <w:tab w:val="right" w:leader="dot" w:pos="9350"/>
        </w:tabs>
        <w:rPr>
          <w:rFonts w:asciiTheme="minorHAnsi" w:eastAsiaTheme="minorEastAsia" w:hAnsiTheme="minorHAnsi" w:cstheme="minorBidi"/>
          <w:noProof/>
          <w:sz w:val="22"/>
          <w:szCs w:val="22"/>
        </w:rPr>
      </w:pPr>
      <w:hyperlink w:anchor="_Toc437853365" w:history="1">
        <w:r w:rsidRPr="00A83A73">
          <w:rPr>
            <w:rStyle w:val="Hyperlink"/>
            <w:i/>
            <w:noProof/>
          </w:rPr>
          <w:t>4.3.2</w:t>
        </w:r>
        <w:r>
          <w:rPr>
            <w:rFonts w:asciiTheme="minorHAnsi" w:eastAsiaTheme="minorEastAsia" w:hAnsiTheme="minorHAnsi" w:cstheme="minorBidi"/>
            <w:noProof/>
            <w:sz w:val="22"/>
            <w:szCs w:val="22"/>
          </w:rPr>
          <w:tab/>
        </w:r>
        <w:r w:rsidRPr="00A83A73">
          <w:rPr>
            <w:rStyle w:val="Hyperlink"/>
            <w:i/>
            <w:noProof/>
          </w:rPr>
          <w:t>Incremental Measure Costs</w:t>
        </w:r>
        <w:r>
          <w:rPr>
            <w:noProof/>
            <w:webHidden/>
          </w:rPr>
          <w:tab/>
        </w:r>
        <w:r>
          <w:rPr>
            <w:noProof/>
            <w:webHidden/>
          </w:rPr>
          <w:fldChar w:fldCharType="begin"/>
        </w:r>
        <w:r>
          <w:rPr>
            <w:noProof/>
            <w:webHidden/>
          </w:rPr>
          <w:instrText xml:space="preserve"> PAGEREF _Toc437853365 \h </w:instrText>
        </w:r>
        <w:r>
          <w:rPr>
            <w:noProof/>
            <w:webHidden/>
          </w:rPr>
        </w:r>
        <w:r>
          <w:rPr>
            <w:noProof/>
            <w:webHidden/>
          </w:rPr>
          <w:fldChar w:fldCharType="separate"/>
        </w:r>
        <w:r>
          <w:rPr>
            <w:noProof/>
            <w:webHidden/>
          </w:rPr>
          <w:t>14</w:t>
        </w:r>
        <w:r>
          <w:rPr>
            <w:noProof/>
            <w:webHidden/>
          </w:rPr>
          <w:fldChar w:fldCharType="end"/>
        </w:r>
      </w:hyperlink>
    </w:p>
    <w:p w:rsidR="00777F66" w:rsidRDefault="00777F66">
      <w:pPr>
        <w:pStyle w:val="TOC1"/>
        <w:tabs>
          <w:tab w:val="right" w:leader="dot" w:pos="9350"/>
        </w:tabs>
        <w:rPr>
          <w:rFonts w:asciiTheme="minorHAnsi" w:eastAsiaTheme="minorEastAsia" w:hAnsiTheme="minorHAnsi" w:cstheme="minorBidi"/>
          <w:noProof/>
          <w:sz w:val="22"/>
          <w:szCs w:val="22"/>
        </w:rPr>
      </w:pPr>
      <w:hyperlink w:anchor="_Toc437853366" w:history="1">
        <w:r w:rsidRPr="00A83A73">
          <w:rPr>
            <w:rStyle w:val="Hyperlink"/>
            <w:noProof/>
          </w:rPr>
          <w:t>References:</w:t>
        </w:r>
        <w:r>
          <w:rPr>
            <w:noProof/>
            <w:webHidden/>
          </w:rPr>
          <w:tab/>
        </w:r>
        <w:r>
          <w:rPr>
            <w:noProof/>
            <w:webHidden/>
          </w:rPr>
          <w:fldChar w:fldCharType="begin"/>
        </w:r>
        <w:r>
          <w:rPr>
            <w:noProof/>
            <w:webHidden/>
          </w:rPr>
          <w:instrText xml:space="preserve"> PAGEREF _Toc437853366 \h </w:instrText>
        </w:r>
        <w:r>
          <w:rPr>
            <w:noProof/>
            <w:webHidden/>
          </w:rPr>
        </w:r>
        <w:r>
          <w:rPr>
            <w:noProof/>
            <w:webHidden/>
          </w:rPr>
          <w:fldChar w:fldCharType="separate"/>
        </w:r>
        <w:r>
          <w:rPr>
            <w:noProof/>
            <w:webHidden/>
          </w:rPr>
          <w:t>16</w:t>
        </w:r>
        <w:r>
          <w:rPr>
            <w:noProof/>
            <w:webHidden/>
          </w:rPr>
          <w:fldChar w:fldCharType="end"/>
        </w:r>
      </w:hyperlink>
    </w:p>
    <w:p w:rsidR="00ED21EE" w:rsidRDefault="009F6F8B" w:rsidP="00ED21EE">
      <w:pPr>
        <w:pStyle w:val="Heading1"/>
      </w:pPr>
      <w:r w:rsidRPr="00847090">
        <w:rPr>
          <w:b w:val="0"/>
          <w:bCs w:val="0"/>
          <w:kern w:val="0"/>
          <w:sz w:val="20"/>
          <w:szCs w:val="24"/>
        </w:rPr>
        <w:fldChar w:fldCharType="end"/>
      </w:r>
      <w:bookmarkStart w:id="8" w:name="_Toc172205729"/>
      <w:bookmarkStart w:id="9" w:name="_Toc437853343"/>
      <w:r w:rsidR="00ED21EE">
        <w:t>List of Tables</w:t>
      </w:r>
      <w:bookmarkEnd w:id="8"/>
      <w:bookmarkEnd w:id="9"/>
    </w:p>
    <w:p w:rsidR="00777F66" w:rsidRDefault="00ED21EE">
      <w:pPr>
        <w:pStyle w:val="TableofFigures"/>
        <w:tabs>
          <w:tab w:val="right" w:leader="dot" w:pos="9350"/>
        </w:tabs>
        <w:rPr>
          <w:rFonts w:asciiTheme="minorHAnsi" w:eastAsiaTheme="minorEastAsia" w:hAnsiTheme="minorHAnsi" w:cstheme="minorBidi"/>
          <w:noProof/>
          <w:sz w:val="22"/>
          <w:szCs w:val="22"/>
        </w:rPr>
      </w:pPr>
      <w:r w:rsidRPr="00847090">
        <w:fldChar w:fldCharType="begin"/>
      </w:r>
      <w:r w:rsidRPr="00847090">
        <w:instrText xml:space="preserve"> TOC \h \z \c "Table" </w:instrText>
      </w:r>
      <w:r w:rsidRPr="00847090">
        <w:fldChar w:fldCharType="separate"/>
      </w:r>
      <w:hyperlink w:anchor="_Toc437853367" w:history="1">
        <w:r w:rsidR="00777F66" w:rsidRPr="0007415B">
          <w:rPr>
            <w:rStyle w:val="Hyperlink"/>
            <w:noProof/>
          </w:rPr>
          <w:t>Table 1 Measure Codes and Descriptions</w:t>
        </w:r>
        <w:r w:rsidR="00777F66">
          <w:rPr>
            <w:noProof/>
            <w:webHidden/>
          </w:rPr>
          <w:tab/>
        </w:r>
        <w:r w:rsidR="00777F66">
          <w:rPr>
            <w:noProof/>
            <w:webHidden/>
          </w:rPr>
          <w:fldChar w:fldCharType="begin"/>
        </w:r>
        <w:r w:rsidR="00777F66">
          <w:rPr>
            <w:noProof/>
            <w:webHidden/>
          </w:rPr>
          <w:instrText xml:space="preserve"> PAGEREF _Toc437853367 \h </w:instrText>
        </w:r>
        <w:r w:rsidR="00777F66">
          <w:rPr>
            <w:noProof/>
            <w:webHidden/>
          </w:rPr>
        </w:r>
        <w:r w:rsidR="00777F66">
          <w:rPr>
            <w:noProof/>
            <w:webHidden/>
          </w:rPr>
          <w:fldChar w:fldCharType="separate"/>
        </w:r>
        <w:r w:rsidR="00777F66">
          <w:rPr>
            <w:noProof/>
            <w:webHidden/>
          </w:rPr>
          <w:t>1</w:t>
        </w:r>
        <w:r w:rsidR="00777F66">
          <w:rPr>
            <w:noProof/>
            <w:webHidden/>
          </w:rPr>
          <w:fldChar w:fldCharType="end"/>
        </w:r>
      </w:hyperlink>
    </w:p>
    <w:p w:rsidR="00777F66" w:rsidRDefault="00777F66">
      <w:pPr>
        <w:pStyle w:val="TableofFigures"/>
        <w:tabs>
          <w:tab w:val="right" w:leader="dot" w:pos="9350"/>
        </w:tabs>
        <w:rPr>
          <w:rFonts w:asciiTheme="minorHAnsi" w:eastAsiaTheme="minorEastAsia" w:hAnsiTheme="minorHAnsi" w:cstheme="minorBidi"/>
          <w:noProof/>
          <w:sz w:val="22"/>
          <w:szCs w:val="22"/>
        </w:rPr>
      </w:pPr>
      <w:hyperlink w:anchor="_Toc437853368" w:history="1">
        <w:r w:rsidRPr="0007415B">
          <w:rPr>
            <w:rStyle w:val="Hyperlink"/>
            <w:noProof/>
          </w:rPr>
          <w:t>Table 2 Product Descriptions</w:t>
        </w:r>
        <w:r>
          <w:rPr>
            <w:noProof/>
            <w:webHidden/>
          </w:rPr>
          <w:tab/>
        </w:r>
        <w:r>
          <w:rPr>
            <w:noProof/>
            <w:webHidden/>
          </w:rPr>
          <w:fldChar w:fldCharType="begin"/>
        </w:r>
        <w:r>
          <w:rPr>
            <w:noProof/>
            <w:webHidden/>
          </w:rPr>
          <w:instrText xml:space="preserve"> PAGEREF _Toc437853368 \h </w:instrText>
        </w:r>
        <w:r>
          <w:rPr>
            <w:noProof/>
            <w:webHidden/>
          </w:rPr>
        </w:r>
        <w:r>
          <w:rPr>
            <w:noProof/>
            <w:webHidden/>
          </w:rPr>
          <w:fldChar w:fldCharType="separate"/>
        </w:r>
        <w:r>
          <w:rPr>
            <w:noProof/>
            <w:webHidden/>
          </w:rPr>
          <w:t>2</w:t>
        </w:r>
        <w:r>
          <w:rPr>
            <w:noProof/>
            <w:webHidden/>
          </w:rPr>
          <w:fldChar w:fldCharType="end"/>
        </w:r>
      </w:hyperlink>
    </w:p>
    <w:p w:rsidR="00777F66" w:rsidRDefault="00777F66">
      <w:pPr>
        <w:pStyle w:val="TableofFigures"/>
        <w:tabs>
          <w:tab w:val="right" w:leader="dot" w:pos="9350"/>
        </w:tabs>
        <w:rPr>
          <w:rFonts w:asciiTheme="minorHAnsi" w:eastAsiaTheme="minorEastAsia" w:hAnsiTheme="minorHAnsi" w:cstheme="minorBidi"/>
          <w:noProof/>
          <w:sz w:val="22"/>
          <w:szCs w:val="22"/>
        </w:rPr>
      </w:pPr>
      <w:hyperlink w:anchor="_Toc437853369" w:history="1">
        <w:r w:rsidRPr="0007415B">
          <w:rPr>
            <w:rStyle w:val="Hyperlink"/>
            <w:noProof/>
          </w:rPr>
          <w:t>Table 3 Technical Requirements for Display Case Luminaires from DLC</w:t>
        </w:r>
        <w:r>
          <w:rPr>
            <w:noProof/>
            <w:webHidden/>
          </w:rPr>
          <w:tab/>
        </w:r>
        <w:r>
          <w:rPr>
            <w:noProof/>
            <w:webHidden/>
          </w:rPr>
          <w:fldChar w:fldCharType="begin"/>
        </w:r>
        <w:r>
          <w:rPr>
            <w:noProof/>
            <w:webHidden/>
          </w:rPr>
          <w:instrText xml:space="preserve"> PAGEREF _Toc437853369 \h </w:instrText>
        </w:r>
        <w:r>
          <w:rPr>
            <w:noProof/>
            <w:webHidden/>
          </w:rPr>
        </w:r>
        <w:r>
          <w:rPr>
            <w:noProof/>
            <w:webHidden/>
          </w:rPr>
          <w:fldChar w:fldCharType="separate"/>
        </w:r>
        <w:r>
          <w:rPr>
            <w:noProof/>
            <w:webHidden/>
          </w:rPr>
          <w:t>3</w:t>
        </w:r>
        <w:r>
          <w:rPr>
            <w:noProof/>
            <w:webHidden/>
          </w:rPr>
          <w:fldChar w:fldCharType="end"/>
        </w:r>
      </w:hyperlink>
    </w:p>
    <w:p w:rsidR="00777F66" w:rsidRDefault="00777F66">
      <w:pPr>
        <w:pStyle w:val="TableofFigures"/>
        <w:tabs>
          <w:tab w:val="right" w:leader="dot" w:pos="9350"/>
        </w:tabs>
        <w:rPr>
          <w:rFonts w:asciiTheme="minorHAnsi" w:eastAsiaTheme="minorEastAsia" w:hAnsiTheme="minorHAnsi" w:cstheme="minorBidi"/>
          <w:noProof/>
          <w:sz w:val="22"/>
          <w:szCs w:val="22"/>
        </w:rPr>
      </w:pPr>
      <w:hyperlink w:anchor="_Toc437853370" w:history="1">
        <w:r w:rsidRPr="0007415B">
          <w:rPr>
            <w:rStyle w:val="Hyperlink"/>
            <w:noProof/>
          </w:rPr>
          <w:t>Table 4 Light Output and Zonal Lumen Distribution from DLC</w:t>
        </w:r>
        <w:r>
          <w:rPr>
            <w:noProof/>
            <w:webHidden/>
          </w:rPr>
          <w:tab/>
        </w:r>
        <w:r>
          <w:rPr>
            <w:noProof/>
            <w:webHidden/>
          </w:rPr>
          <w:fldChar w:fldCharType="begin"/>
        </w:r>
        <w:r>
          <w:rPr>
            <w:noProof/>
            <w:webHidden/>
          </w:rPr>
          <w:instrText xml:space="preserve"> PAGEREF _Toc437853370 \h </w:instrText>
        </w:r>
        <w:r>
          <w:rPr>
            <w:noProof/>
            <w:webHidden/>
          </w:rPr>
        </w:r>
        <w:r>
          <w:rPr>
            <w:noProof/>
            <w:webHidden/>
          </w:rPr>
          <w:fldChar w:fldCharType="separate"/>
        </w:r>
        <w:r>
          <w:rPr>
            <w:noProof/>
            <w:webHidden/>
          </w:rPr>
          <w:t>3</w:t>
        </w:r>
        <w:r>
          <w:rPr>
            <w:noProof/>
            <w:webHidden/>
          </w:rPr>
          <w:fldChar w:fldCharType="end"/>
        </w:r>
      </w:hyperlink>
    </w:p>
    <w:p w:rsidR="00777F66" w:rsidRDefault="00777F66">
      <w:pPr>
        <w:pStyle w:val="TableofFigures"/>
        <w:tabs>
          <w:tab w:val="right" w:leader="dot" w:pos="9350"/>
        </w:tabs>
        <w:rPr>
          <w:rFonts w:asciiTheme="minorHAnsi" w:eastAsiaTheme="minorEastAsia" w:hAnsiTheme="minorHAnsi" w:cstheme="minorBidi"/>
          <w:noProof/>
          <w:sz w:val="22"/>
          <w:szCs w:val="22"/>
        </w:rPr>
      </w:pPr>
      <w:hyperlink w:anchor="_Toc437853371" w:history="1">
        <w:r w:rsidRPr="0007415B">
          <w:rPr>
            <w:rStyle w:val="Hyperlink"/>
            <w:rFonts w:cs="Arial"/>
            <w:noProof/>
          </w:rPr>
          <w:t>Table 5 Measure Application Type</w:t>
        </w:r>
        <w:r>
          <w:rPr>
            <w:noProof/>
            <w:webHidden/>
          </w:rPr>
          <w:tab/>
        </w:r>
        <w:r>
          <w:rPr>
            <w:noProof/>
            <w:webHidden/>
          </w:rPr>
          <w:fldChar w:fldCharType="begin"/>
        </w:r>
        <w:r>
          <w:rPr>
            <w:noProof/>
            <w:webHidden/>
          </w:rPr>
          <w:instrText xml:space="preserve"> PAGEREF _Toc437853371 \h </w:instrText>
        </w:r>
        <w:r>
          <w:rPr>
            <w:noProof/>
            <w:webHidden/>
          </w:rPr>
        </w:r>
        <w:r>
          <w:rPr>
            <w:noProof/>
            <w:webHidden/>
          </w:rPr>
          <w:fldChar w:fldCharType="separate"/>
        </w:r>
        <w:r>
          <w:rPr>
            <w:noProof/>
            <w:webHidden/>
          </w:rPr>
          <w:t>5</w:t>
        </w:r>
        <w:r>
          <w:rPr>
            <w:noProof/>
            <w:webHidden/>
          </w:rPr>
          <w:fldChar w:fldCharType="end"/>
        </w:r>
      </w:hyperlink>
    </w:p>
    <w:p w:rsidR="00777F66" w:rsidRDefault="00777F66">
      <w:pPr>
        <w:pStyle w:val="TableofFigures"/>
        <w:tabs>
          <w:tab w:val="right" w:leader="dot" w:pos="9350"/>
        </w:tabs>
        <w:rPr>
          <w:rFonts w:asciiTheme="minorHAnsi" w:eastAsiaTheme="minorEastAsia" w:hAnsiTheme="minorHAnsi" w:cstheme="minorBidi"/>
          <w:noProof/>
          <w:sz w:val="22"/>
          <w:szCs w:val="22"/>
        </w:rPr>
      </w:pPr>
      <w:hyperlink w:anchor="_Toc437853372" w:history="1">
        <w:r w:rsidRPr="0007415B">
          <w:rPr>
            <w:rStyle w:val="Hyperlink"/>
            <w:rFonts w:cs="Arial"/>
            <w:noProof/>
          </w:rPr>
          <w:t>Table 6 Net-to-Gross Ratios</w:t>
        </w:r>
        <w:r>
          <w:rPr>
            <w:noProof/>
            <w:webHidden/>
          </w:rPr>
          <w:tab/>
        </w:r>
        <w:r>
          <w:rPr>
            <w:noProof/>
            <w:webHidden/>
          </w:rPr>
          <w:fldChar w:fldCharType="begin"/>
        </w:r>
        <w:r>
          <w:rPr>
            <w:noProof/>
            <w:webHidden/>
          </w:rPr>
          <w:instrText xml:space="preserve"> PAGEREF _Toc437853372 \h </w:instrText>
        </w:r>
        <w:r>
          <w:rPr>
            <w:noProof/>
            <w:webHidden/>
          </w:rPr>
        </w:r>
        <w:r>
          <w:rPr>
            <w:noProof/>
            <w:webHidden/>
          </w:rPr>
          <w:fldChar w:fldCharType="separate"/>
        </w:r>
        <w:r>
          <w:rPr>
            <w:noProof/>
            <w:webHidden/>
          </w:rPr>
          <w:t>5</w:t>
        </w:r>
        <w:r>
          <w:rPr>
            <w:noProof/>
            <w:webHidden/>
          </w:rPr>
          <w:fldChar w:fldCharType="end"/>
        </w:r>
      </w:hyperlink>
    </w:p>
    <w:p w:rsidR="00777F66" w:rsidRDefault="00777F66">
      <w:pPr>
        <w:pStyle w:val="TableofFigures"/>
        <w:tabs>
          <w:tab w:val="right" w:leader="dot" w:pos="9350"/>
        </w:tabs>
        <w:rPr>
          <w:rFonts w:asciiTheme="minorHAnsi" w:eastAsiaTheme="minorEastAsia" w:hAnsiTheme="minorHAnsi" w:cstheme="minorBidi"/>
          <w:noProof/>
          <w:sz w:val="22"/>
          <w:szCs w:val="22"/>
        </w:rPr>
      </w:pPr>
      <w:hyperlink w:anchor="_Toc437853373" w:history="1">
        <w:r w:rsidRPr="0007415B">
          <w:rPr>
            <w:rStyle w:val="Hyperlink"/>
            <w:noProof/>
          </w:rPr>
          <w:t>Table 7 Installation Rate</w:t>
        </w:r>
        <w:r>
          <w:rPr>
            <w:noProof/>
            <w:webHidden/>
          </w:rPr>
          <w:tab/>
        </w:r>
        <w:r>
          <w:rPr>
            <w:noProof/>
            <w:webHidden/>
          </w:rPr>
          <w:fldChar w:fldCharType="begin"/>
        </w:r>
        <w:r>
          <w:rPr>
            <w:noProof/>
            <w:webHidden/>
          </w:rPr>
          <w:instrText xml:space="preserve"> PAGEREF _Toc437853373 \h </w:instrText>
        </w:r>
        <w:r>
          <w:rPr>
            <w:noProof/>
            <w:webHidden/>
          </w:rPr>
        </w:r>
        <w:r>
          <w:rPr>
            <w:noProof/>
            <w:webHidden/>
          </w:rPr>
          <w:fldChar w:fldCharType="separate"/>
        </w:r>
        <w:r>
          <w:rPr>
            <w:noProof/>
            <w:webHidden/>
          </w:rPr>
          <w:t>6</w:t>
        </w:r>
        <w:r>
          <w:rPr>
            <w:noProof/>
            <w:webHidden/>
          </w:rPr>
          <w:fldChar w:fldCharType="end"/>
        </w:r>
      </w:hyperlink>
    </w:p>
    <w:p w:rsidR="00777F66" w:rsidRDefault="00777F66">
      <w:pPr>
        <w:pStyle w:val="TableofFigures"/>
        <w:tabs>
          <w:tab w:val="right" w:leader="dot" w:pos="9350"/>
        </w:tabs>
        <w:rPr>
          <w:rFonts w:asciiTheme="minorHAnsi" w:eastAsiaTheme="minorEastAsia" w:hAnsiTheme="minorHAnsi" w:cstheme="minorBidi"/>
          <w:noProof/>
          <w:sz w:val="22"/>
          <w:szCs w:val="22"/>
        </w:rPr>
      </w:pPr>
      <w:hyperlink w:anchor="_Toc437853374" w:history="1">
        <w:r w:rsidRPr="0007415B">
          <w:rPr>
            <w:rStyle w:val="Hyperlink"/>
            <w:noProof/>
          </w:rPr>
          <w:t>Table 8 Effective Useful Life</w:t>
        </w:r>
        <w:r>
          <w:rPr>
            <w:noProof/>
            <w:webHidden/>
          </w:rPr>
          <w:tab/>
        </w:r>
        <w:r>
          <w:rPr>
            <w:noProof/>
            <w:webHidden/>
          </w:rPr>
          <w:fldChar w:fldCharType="begin"/>
        </w:r>
        <w:r>
          <w:rPr>
            <w:noProof/>
            <w:webHidden/>
          </w:rPr>
          <w:instrText xml:space="preserve"> PAGEREF _Toc437853374 \h </w:instrText>
        </w:r>
        <w:r>
          <w:rPr>
            <w:noProof/>
            <w:webHidden/>
          </w:rPr>
        </w:r>
        <w:r>
          <w:rPr>
            <w:noProof/>
            <w:webHidden/>
          </w:rPr>
          <w:fldChar w:fldCharType="separate"/>
        </w:r>
        <w:r>
          <w:rPr>
            <w:noProof/>
            <w:webHidden/>
          </w:rPr>
          <w:t>6</w:t>
        </w:r>
        <w:r>
          <w:rPr>
            <w:noProof/>
            <w:webHidden/>
          </w:rPr>
          <w:fldChar w:fldCharType="end"/>
        </w:r>
      </w:hyperlink>
    </w:p>
    <w:p w:rsidR="00777F66" w:rsidRDefault="00777F66">
      <w:pPr>
        <w:pStyle w:val="TableofFigures"/>
        <w:tabs>
          <w:tab w:val="right" w:leader="dot" w:pos="9350"/>
        </w:tabs>
        <w:rPr>
          <w:rFonts w:asciiTheme="minorHAnsi" w:eastAsiaTheme="minorEastAsia" w:hAnsiTheme="minorHAnsi" w:cstheme="minorBidi"/>
          <w:noProof/>
          <w:sz w:val="22"/>
          <w:szCs w:val="22"/>
        </w:rPr>
      </w:pPr>
      <w:hyperlink w:anchor="_Toc437853375" w:history="1">
        <w:r w:rsidRPr="0007415B">
          <w:rPr>
            <w:rStyle w:val="Hyperlink"/>
            <w:rFonts w:cs="Arial"/>
            <w:noProof/>
          </w:rPr>
          <w:t>Table 10 Building Types and Lo</w:t>
        </w:r>
        <w:bookmarkStart w:id="10" w:name="_GoBack"/>
        <w:bookmarkEnd w:id="10"/>
        <w:r w:rsidRPr="0007415B">
          <w:rPr>
            <w:rStyle w:val="Hyperlink"/>
            <w:rFonts w:cs="Arial"/>
            <w:noProof/>
          </w:rPr>
          <w:t>ad Shapes</w:t>
        </w:r>
        <w:r>
          <w:rPr>
            <w:noProof/>
            <w:webHidden/>
          </w:rPr>
          <w:tab/>
        </w:r>
        <w:r>
          <w:rPr>
            <w:noProof/>
            <w:webHidden/>
          </w:rPr>
          <w:fldChar w:fldCharType="begin"/>
        </w:r>
        <w:r>
          <w:rPr>
            <w:noProof/>
            <w:webHidden/>
          </w:rPr>
          <w:instrText xml:space="preserve"> PAGEREF _Toc437853375 \h </w:instrText>
        </w:r>
        <w:r>
          <w:rPr>
            <w:noProof/>
            <w:webHidden/>
          </w:rPr>
        </w:r>
        <w:r>
          <w:rPr>
            <w:noProof/>
            <w:webHidden/>
          </w:rPr>
          <w:fldChar w:fldCharType="separate"/>
        </w:r>
        <w:r>
          <w:rPr>
            <w:noProof/>
            <w:webHidden/>
          </w:rPr>
          <w:t>12</w:t>
        </w:r>
        <w:r>
          <w:rPr>
            <w:noProof/>
            <w:webHidden/>
          </w:rPr>
          <w:fldChar w:fldCharType="end"/>
        </w:r>
      </w:hyperlink>
    </w:p>
    <w:p w:rsidR="005A6D9E" w:rsidRDefault="00ED21EE" w:rsidP="00BE7644">
      <w:pPr>
        <w:pStyle w:val="Heading1"/>
        <w:sectPr w:rsidR="005A6D9E" w:rsidSect="005A6D9E">
          <w:endnotePr>
            <w:numFmt w:val="decimal"/>
          </w:endnotePr>
          <w:type w:val="continuous"/>
          <w:pgSz w:w="12240" w:h="15840"/>
          <w:pgMar w:top="1440" w:right="1440" w:bottom="1440" w:left="1440" w:header="720" w:footer="720" w:gutter="0"/>
          <w:pgNumType w:fmt="lowerRoman" w:chapStyle="1"/>
          <w:cols w:space="720"/>
          <w:docGrid w:linePitch="360"/>
        </w:sectPr>
      </w:pPr>
      <w:r w:rsidRPr="00847090">
        <w:rPr>
          <w:b w:val="0"/>
          <w:bCs w:val="0"/>
          <w:kern w:val="0"/>
          <w:sz w:val="20"/>
        </w:rPr>
        <w:fldChar w:fldCharType="end"/>
      </w:r>
      <w:bookmarkStart w:id="11" w:name="_Toc172205732"/>
    </w:p>
    <w:p w:rsidR="00ED21EE" w:rsidRPr="00D705EF" w:rsidRDefault="00ED21EE" w:rsidP="00BE7644">
      <w:pPr>
        <w:pStyle w:val="Heading1"/>
      </w:pPr>
      <w:bookmarkStart w:id="12" w:name="_Toc437853344"/>
      <w:r w:rsidRPr="00D705EF">
        <w:lastRenderedPageBreak/>
        <w:t>Section 1. General Measure &amp; Baseline Data</w:t>
      </w:r>
      <w:bookmarkEnd w:id="12"/>
    </w:p>
    <w:p w:rsidR="00E71EF1" w:rsidRPr="00AE5408" w:rsidRDefault="001248A3" w:rsidP="001248A3">
      <w:pPr>
        <w:pStyle w:val="Heading2"/>
      </w:pPr>
      <w:bookmarkStart w:id="13" w:name="_Toc437853345"/>
      <w:bookmarkEnd w:id="11"/>
      <w:r w:rsidRPr="00AE5408">
        <w:t xml:space="preserve">1.1 </w:t>
      </w:r>
      <w:r w:rsidR="008C6AD1" w:rsidRPr="00AE5408">
        <w:t xml:space="preserve">Product </w:t>
      </w:r>
      <w:r w:rsidR="00E71EF1" w:rsidRPr="00AE5408">
        <w:t>Measure Description &amp; Background</w:t>
      </w:r>
      <w:bookmarkEnd w:id="13"/>
    </w:p>
    <w:p w:rsidR="0037707D" w:rsidRPr="0001315F" w:rsidRDefault="00521920" w:rsidP="00872913">
      <w:pPr>
        <w:rPr>
          <w:rFonts w:cs="Arial"/>
          <w:b/>
          <w:i/>
        </w:rPr>
      </w:pPr>
      <w:r w:rsidRPr="0001315F">
        <w:rPr>
          <w:rFonts w:cs="Arial"/>
          <w:b/>
          <w:i/>
        </w:rPr>
        <w:t>Catalog Description</w:t>
      </w:r>
      <w:r w:rsidR="00476B67" w:rsidRPr="0001315F">
        <w:rPr>
          <w:rFonts w:cs="Arial"/>
          <w:b/>
          <w:i/>
        </w:rPr>
        <w:t xml:space="preserve"> </w:t>
      </w:r>
    </w:p>
    <w:p w:rsidR="0017046E" w:rsidRPr="00B74ABF" w:rsidRDefault="00A93663" w:rsidP="0017046E">
      <w:pPr>
        <w:rPr>
          <w:rFonts w:cs="Arial"/>
          <w:szCs w:val="20"/>
        </w:rPr>
      </w:pPr>
      <w:r w:rsidRPr="00B74ABF">
        <w:rPr>
          <w:rFonts w:cs="Arial"/>
          <w:color w:val="000000"/>
          <w:szCs w:val="20"/>
        </w:rPr>
        <w:t>Light emitting diodes (LEDs) are emerging as a viable replacement for incandescent and fluorescent lighting technologies in certain applications. One such application is</w:t>
      </w:r>
      <w:r w:rsidR="004152E1">
        <w:rPr>
          <w:rFonts w:cs="Arial"/>
          <w:color w:val="000000"/>
          <w:szCs w:val="20"/>
        </w:rPr>
        <w:t xml:space="preserve"> </w:t>
      </w:r>
      <w:r w:rsidR="0017046E">
        <w:rPr>
          <w:rFonts w:cs="Arial"/>
          <w:color w:val="000000"/>
          <w:szCs w:val="20"/>
        </w:rPr>
        <w:t>refrigerated</w:t>
      </w:r>
      <w:r w:rsidRPr="00B74ABF">
        <w:rPr>
          <w:rFonts w:cs="Arial"/>
          <w:color w:val="000000"/>
          <w:szCs w:val="20"/>
        </w:rPr>
        <w:t xml:space="preserve"> cases for perishable goods.</w:t>
      </w:r>
      <w:r w:rsidR="0017046E">
        <w:rPr>
          <w:rFonts w:cs="Arial"/>
          <w:color w:val="000000"/>
          <w:szCs w:val="20"/>
        </w:rPr>
        <w:t xml:space="preserve"> </w:t>
      </w:r>
      <w:r w:rsidR="0017046E" w:rsidRPr="00B74ABF">
        <w:rPr>
          <w:rFonts w:cs="Arial"/>
          <w:szCs w:val="20"/>
        </w:rPr>
        <w:t>Refrigerated cases are found in most grocery stores and convenience stores</w:t>
      </w:r>
      <w:r w:rsidR="0017046E">
        <w:rPr>
          <w:rFonts w:cs="Arial"/>
          <w:szCs w:val="20"/>
        </w:rPr>
        <w:t>,</w:t>
      </w:r>
      <w:r w:rsidR="0017046E" w:rsidRPr="00B74ABF">
        <w:rPr>
          <w:rFonts w:cs="Arial"/>
          <w:szCs w:val="20"/>
        </w:rPr>
        <w:t xml:space="preserve"> as well as some other specialty stores.  Illumination in refrigerated cases is typically provided by fluorescent sources, but while fluorescent light sources are efficient, they are optimized to operate in ambient air temperatures of 60ºF to 80ºF.  </w:t>
      </w:r>
    </w:p>
    <w:p w:rsidR="0017046E" w:rsidRPr="00B74ABF" w:rsidRDefault="0017046E" w:rsidP="0017046E">
      <w:pPr>
        <w:rPr>
          <w:rFonts w:cs="Arial"/>
          <w:szCs w:val="20"/>
        </w:rPr>
      </w:pPr>
      <w:r w:rsidRPr="00B74ABF">
        <w:rPr>
          <w:rFonts w:cs="Arial"/>
          <w:szCs w:val="20"/>
        </w:rPr>
        <w:t xml:space="preserve"> </w:t>
      </w:r>
    </w:p>
    <w:p w:rsidR="0017046E" w:rsidRPr="00B74ABF" w:rsidRDefault="0017046E" w:rsidP="0017046E">
      <w:pPr>
        <w:rPr>
          <w:rFonts w:cs="Arial"/>
          <w:szCs w:val="20"/>
        </w:rPr>
      </w:pPr>
      <w:r w:rsidRPr="00B74ABF">
        <w:rPr>
          <w:rFonts w:cs="Arial"/>
          <w:szCs w:val="20"/>
        </w:rPr>
        <w:t>Performance of LED light sources improves in cold temperature applications. Many of the LED components available specify that they are suitable for use in low temperature settings.  The brightness, long life and high efficacy of LEDs make them a suitable energy efficient replacement for fluorescent lighting in refrigerat</w:t>
      </w:r>
      <w:r>
        <w:rPr>
          <w:rFonts w:cs="Arial"/>
          <w:szCs w:val="20"/>
        </w:rPr>
        <w:t>ed</w:t>
      </w:r>
      <w:r w:rsidRPr="00B74ABF">
        <w:rPr>
          <w:rFonts w:cs="Arial"/>
          <w:szCs w:val="20"/>
        </w:rPr>
        <w:t xml:space="preserve"> cases.  Demonstration projects have shown that customer </w:t>
      </w:r>
      <w:r w:rsidR="004152E1">
        <w:rPr>
          <w:rFonts w:cs="Arial"/>
          <w:szCs w:val="20"/>
        </w:rPr>
        <w:t>response to</w:t>
      </w:r>
      <w:r w:rsidRPr="00B74ABF">
        <w:rPr>
          <w:rFonts w:cs="Arial"/>
          <w:szCs w:val="20"/>
        </w:rPr>
        <w:t xml:space="preserve"> LED case lighting is positive, and even when there has been a reduction in light levels with new case LEDs, </w:t>
      </w:r>
      <w:r>
        <w:rPr>
          <w:rFonts w:cs="Arial"/>
          <w:szCs w:val="20"/>
        </w:rPr>
        <w:t>store</w:t>
      </w:r>
      <w:r w:rsidRPr="00B74ABF">
        <w:rPr>
          <w:rFonts w:cs="Arial"/>
          <w:szCs w:val="20"/>
        </w:rPr>
        <w:t xml:space="preserve"> staff </w:t>
      </w:r>
      <w:r>
        <w:rPr>
          <w:rFonts w:cs="Arial"/>
          <w:szCs w:val="20"/>
        </w:rPr>
        <w:t xml:space="preserve">have viewed </w:t>
      </w:r>
      <w:r w:rsidRPr="00B74ABF">
        <w:rPr>
          <w:rFonts w:cs="Arial"/>
          <w:szCs w:val="20"/>
        </w:rPr>
        <w:t>the lighting technology change favorably</w:t>
      </w:r>
      <w:bookmarkStart w:id="14" w:name="_Ref328383821"/>
      <w:r w:rsidR="009B7064">
        <w:rPr>
          <w:rStyle w:val="EndnoteReference"/>
          <w:rFonts w:cs="Arial"/>
          <w:szCs w:val="20"/>
        </w:rPr>
        <w:endnoteReference w:id="1"/>
      </w:r>
      <w:bookmarkEnd w:id="14"/>
      <w:r w:rsidRPr="00B74ABF">
        <w:rPr>
          <w:rFonts w:cs="Arial"/>
          <w:szCs w:val="20"/>
        </w:rPr>
        <w:t xml:space="preserve">. There are also indications that refrigerated case LEDs may have a positive impact on </w:t>
      </w:r>
      <w:r w:rsidRPr="00DC5523">
        <w:rPr>
          <w:rFonts w:cs="Arial"/>
          <w:szCs w:val="20"/>
        </w:rPr>
        <w:t>product sales.</w:t>
      </w:r>
      <w:r w:rsidRPr="00DC5523">
        <w:rPr>
          <w:rStyle w:val="EndnoteReference"/>
          <w:rFonts w:cs="Arial"/>
          <w:szCs w:val="20"/>
        </w:rPr>
        <w:endnoteReference w:id="2"/>
      </w:r>
      <w:r w:rsidRPr="00DC5523">
        <w:rPr>
          <w:rFonts w:cs="Arial"/>
          <w:szCs w:val="20"/>
        </w:rPr>
        <w:t xml:space="preserve"> LEDs save energy, perform well in the cold environment and provide consistent luminance.</w:t>
      </w:r>
      <w:bookmarkStart w:id="15" w:name="_Ref328381548"/>
      <w:r w:rsidRPr="00DC5523">
        <w:rPr>
          <w:rFonts w:cs="Arial"/>
          <w:szCs w:val="20"/>
          <w:vertAlign w:val="superscript"/>
        </w:rPr>
        <w:endnoteReference w:id="3"/>
      </w:r>
      <w:bookmarkEnd w:id="15"/>
      <w:r w:rsidRPr="00DC5523">
        <w:rPr>
          <w:rFonts w:cs="Arial"/>
          <w:szCs w:val="20"/>
        </w:rPr>
        <w:t xml:space="preserve">  The energy savings results</w:t>
      </w:r>
      <w:r w:rsidRPr="00B74ABF">
        <w:rPr>
          <w:rFonts w:cs="Arial"/>
          <w:szCs w:val="20"/>
        </w:rPr>
        <w:t xml:space="preserve"> from reduced lighting load and reduced refrigeration load due to reduced heat gain from the lighting equipment.  </w:t>
      </w:r>
    </w:p>
    <w:p w:rsidR="00A93663" w:rsidRPr="00B74ABF" w:rsidRDefault="00A93663" w:rsidP="00A93663">
      <w:pPr>
        <w:pStyle w:val="BodyText"/>
        <w:spacing w:after="0"/>
        <w:rPr>
          <w:rFonts w:cs="Arial"/>
          <w:color w:val="000000"/>
          <w:szCs w:val="20"/>
        </w:rPr>
      </w:pPr>
      <w:r w:rsidRPr="00B74ABF">
        <w:rPr>
          <w:rFonts w:cs="Arial"/>
          <w:color w:val="000000"/>
          <w:szCs w:val="20"/>
        </w:rPr>
        <w:t xml:space="preserve"> </w:t>
      </w:r>
    </w:p>
    <w:p w:rsidR="00A93663" w:rsidRDefault="00A93663" w:rsidP="00A93663">
      <w:pPr>
        <w:pStyle w:val="BodyText"/>
        <w:spacing w:after="0"/>
        <w:rPr>
          <w:rFonts w:cs="Arial"/>
          <w:color w:val="000000"/>
          <w:szCs w:val="20"/>
        </w:rPr>
      </w:pPr>
      <w:r w:rsidRPr="00B74ABF">
        <w:rPr>
          <w:rFonts w:cs="Arial"/>
          <w:color w:val="000000"/>
          <w:szCs w:val="20"/>
        </w:rPr>
        <w:t xml:space="preserve">This work paper details the energy and demand savings of </w:t>
      </w:r>
      <w:r w:rsidR="00083FC8" w:rsidRPr="00B74ABF">
        <w:rPr>
          <w:rFonts w:cs="Arial"/>
          <w:color w:val="000000"/>
          <w:szCs w:val="20"/>
        </w:rPr>
        <w:t>new</w:t>
      </w:r>
      <w:r w:rsidRPr="00B74ABF">
        <w:rPr>
          <w:rFonts w:cs="Arial"/>
          <w:color w:val="000000"/>
          <w:szCs w:val="20"/>
        </w:rPr>
        <w:t xml:space="preserve"> measures related to LED lighting in refrigerated cases.  </w:t>
      </w:r>
    </w:p>
    <w:p w:rsidR="006608D4" w:rsidRPr="00B74ABF" w:rsidRDefault="006608D4" w:rsidP="00A93663">
      <w:pPr>
        <w:pStyle w:val="BodyText"/>
        <w:spacing w:after="0"/>
        <w:rPr>
          <w:rFonts w:cs="Arial"/>
          <w:color w:val="000000"/>
          <w:szCs w:val="20"/>
        </w:rPr>
      </w:pPr>
    </w:p>
    <w:p w:rsidR="006608D4" w:rsidRDefault="006608D4" w:rsidP="006608D4">
      <w:pPr>
        <w:pStyle w:val="Caption"/>
        <w:keepNext/>
        <w:jc w:val="center"/>
      </w:pPr>
      <w:bookmarkStart w:id="16" w:name="_Toc437853367"/>
      <w:r>
        <w:t xml:space="preserve">Table </w:t>
      </w:r>
      <w:fldSimple w:instr=" SEQ Table \* ARABIC ">
        <w:r w:rsidR="007833A0">
          <w:rPr>
            <w:noProof/>
          </w:rPr>
          <w:t>1</w:t>
        </w:r>
      </w:fldSimple>
      <w:r>
        <w:t xml:space="preserve"> Measure Codes and Descriptions</w:t>
      </w:r>
      <w:bookmarkEnd w:id="16"/>
    </w:p>
    <w:tbl>
      <w:tblPr>
        <w:tblpPr w:leftFromText="180" w:rightFromText="180" w:vertAnchor="text" w:horzAnchor="margin" w:tblpY="141"/>
        <w:tblW w:w="9576" w:type="dxa"/>
        <w:tblLayout w:type="fixed"/>
        <w:tblLook w:val="04A0" w:firstRow="1" w:lastRow="0" w:firstColumn="1" w:lastColumn="0" w:noHBand="0" w:noVBand="1"/>
      </w:tblPr>
      <w:tblGrid>
        <w:gridCol w:w="1144"/>
        <w:gridCol w:w="8432"/>
      </w:tblGrid>
      <w:tr w:rsidR="00AB4941" w:rsidRPr="00865448" w:rsidTr="00597812">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AB4941" w:rsidRPr="00865448" w:rsidRDefault="00AB4941" w:rsidP="00AB4941">
            <w:pPr>
              <w:rPr>
                <w:rFonts w:cs="Arial"/>
                <w:b/>
                <w:color w:val="000000"/>
                <w:szCs w:val="20"/>
              </w:rPr>
            </w:pPr>
            <w:r>
              <w:rPr>
                <w:b/>
                <w:color w:val="000000"/>
                <w:szCs w:val="20"/>
              </w:rPr>
              <w:t>Code</w:t>
            </w:r>
          </w:p>
        </w:tc>
        <w:tc>
          <w:tcPr>
            <w:tcW w:w="8432"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AB4941" w:rsidRPr="00865448" w:rsidRDefault="00AB4941" w:rsidP="00AB4941">
            <w:pPr>
              <w:rPr>
                <w:rFonts w:cs="Arial"/>
                <w:b/>
                <w:color w:val="000000"/>
                <w:szCs w:val="20"/>
              </w:rPr>
            </w:pPr>
            <w:r>
              <w:rPr>
                <w:rFonts w:cs="Arial"/>
                <w:b/>
                <w:color w:val="000000"/>
                <w:szCs w:val="20"/>
              </w:rPr>
              <w:t>Description</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pPr>
              <w:rPr>
                <w:rFonts w:ascii="Calibri" w:hAnsi="Calibri" w:cs="Calibri"/>
                <w:color w:val="000000"/>
                <w:szCs w:val="20"/>
              </w:rPr>
            </w:pPr>
            <w:r w:rsidRPr="00C97374">
              <w:rPr>
                <w:rFonts w:ascii="Calibri" w:hAnsi="Calibri" w:cs="Calibri"/>
                <w:color w:val="000000"/>
                <w:szCs w:val="20"/>
              </w:rPr>
              <w:t>L</w:t>
            </w:r>
            <w:r w:rsidR="00BC4C35">
              <w:rPr>
                <w:rFonts w:ascii="Calibri" w:hAnsi="Calibri" w:cs="Calibri"/>
                <w:color w:val="000000"/>
                <w:szCs w:val="20"/>
              </w:rPr>
              <w:t>B03</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Linear foot of Tier 1 LED Lightbar, &lt;= 5-foot unit, no occupancy sensor control replacing single lamp profile</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rsidP="00BC4C35">
            <w:pPr>
              <w:rPr>
                <w:rFonts w:ascii="Calibri" w:hAnsi="Calibri" w:cs="Calibri"/>
                <w:color w:val="000000"/>
                <w:szCs w:val="20"/>
              </w:rPr>
            </w:pPr>
            <w:r w:rsidRPr="00C97374">
              <w:rPr>
                <w:rFonts w:ascii="Calibri" w:hAnsi="Calibri" w:cs="Calibri"/>
                <w:color w:val="000000"/>
                <w:szCs w:val="20"/>
              </w:rPr>
              <w:t>L</w:t>
            </w:r>
            <w:r w:rsidR="00BC4C35">
              <w:rPr>
                <w:rFonts w:ascii="Calibri" w:hAnsi="Calibri" w:cs="Calibri"/>
                <w:color w:val="000000"/>
                <w:szCs w:val="20"/>
              </w:rPr>
              <w:t>B05</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Linear foot of Tier 1 LED Lightbar, &gt; 5-foot unit, no occupancy sensor control replacing single lamp profile</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rsidP="00D85AF8">
            <w:pPr>
              <w:rPr>
                <w:rFonts w:ascii="Calibri" w:hAnsi="Calibri" w:cs="Calibri"/>
                <w:color w:val="000000"/>
                <w:szCs w:val="20"/>
              </w:rPr>
            </w:pPr>
            <w:r w:rsidRPr="00C97374">
              <w:rPr>
                <w:rFonts w:ascii="Calibri" w:hAnsi="Calibri" w:cs="Calibri"/>
                <w:color w:val="000000"/>
                <w:szCs w:val="20"/>
              </w:rPr>
              <w:t>L</w:t>
            </w:r>
            <w:r w:rsidR="00D85AF8">
              <w:rPr>
                <w:rFonts w:ascii="Calibri" w:hAnsi="Calibri" w:cs="Calibri"/>
                <w:color w:val="000000"/>
                <w:szCs w:val="20"/>
              </w:rPr>
              <w:t>B07</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Linear foot of Tier 2 LED Lightbar, &lt;= 5-foot unit, no occupancy sensor control replacing single lamp profile</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rsidP="00D85AF8">
            <w:pPr>
              <w:rPr>
                <w:rFonts w:ascii="Calibri" w:hAnsi="Calibri" w:cs="Calibri"/>
                <w:color w:val="000000"/>
                <w:szCs w:val="20"/>
              </w:rPr>
            </w:pPr>
            <w:r w:rsidRPr="00C97374">
              <w:rPr>
                <w:rFonts w:ascii="Calibri" w:hAnsi="Calibri" w:cs="Calibri"/>
                <w:color w:val="000000"/>
                <w:szCs w:val="20"/>
              </w:rPr>
              <w:t>L</w:t>
            </w:r>
            <w:r w:rsidR="00D85AF8">
              <w:rPr>
                <w:rFonts w:ascii="Calibri" w:hAnsi="Calibri" w:cs="Calibri"/>
                <w:color w:val="000000"/>
                <w:szCs w:val="20"/>
              </w:rPr>
              <w:t>B09</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Linear foot of Tier 2 LED Lightbar, &gt; 5-foot unit, no occupancy sensor control replacing single lamp profile</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rsidP="00042C72">
            <w:pPr>
              <w:rPr>
                <w:rFonts w:ascii="Calibri" w:hAnsi="Calibri" w:cs="Calibri"/>
                <w:color w:val="000000"/>
                <w:szCs w:val="20"/>
              </w:rPr>
            </w:pPr>
            <w:r w:rsidRPr="00C97374">
              <w:rPr>
                <w:rFonts w:ascii="Calibri" w:hAnsi="Calibri" w:cs="Calibri"/>
                <w:color w:val="000000"/>
                <w:szCs w:val="20"/>
              </w:rPr>
              <w:t>L</w:t>
            </w:r>
            <w:r w:rsidR="00042C72">
              <w:rPr>
                <w:rFonts w:ascii="Calibri" w:hAnsi="Calibri" w:cs="Calibri"/>
                <w:color w:val="000000"/>
                <w:szCs w:val="20"/>
              </w:rPr>
              <w:t>B11</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Linear foot of Tier 3 LED Lightbar, &lt;= 5-foot unit, no occupancy sensor control replacing single lamp profile</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rsidP="00042C72">
            <w:pPr>
              <w:rPr>
                <w:rFonts w:ascii="Calibri" w:hAnsi="Calibri" w:cs="Calibri"/>
                <w:color w:val="000000"/>
                <w:szCs w:val="20"/>
              </w:rPr>
            </w:pPr>
            <w:r w:rsidRPr="00C97374">
              <w:rPr>
                <w:rFonts w:ascii="Calibri" w:hAnsi="Calibri" w:cs="Calibri"/>
                <w:color w:val="000000"/>
                <w:szCs w:val="20"/>
              </w:rPr>
              <w:t>L</w:t>
            </w:r>
            <w:r w:rsidR="00042C72">
              <w:rPr>
                <w:rFonts w:ascii="Calibri" w:hAnsi="Calibri" w:cs="Calibri"/>
                <w:color w:val="000000"/>
                <w:szCs w:val="20"/>
              </w:rPr>
              <w:t>B13</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Linear foot of Tier 3 LED Lightbar, &gt; 5-foot unit, no occupancy sensor control replacing single lamp profile</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rsidP="00FC2B39">
            <w:pPr>
              <w:rPr>
                <w:rFonts w:ascii="Calibri" w:hAnsi="Calibri" w:cs="Calibri"/>
                <w:color w:val="000000"/>
                <w:szCs w:val="20"/>
              </w:rPr>
            </w:pPr>
            <w:r w:rsidRPr="00C97374">
              <w:rPr>
                <w:rFonts w:ascii="Calibri" w:hAnsi="Calibri" w:cs="Calibri"/>
                <w:color w:val="000000"/>
                <w:szCs w:val="20"/>
              </w:rPr>
              <w:t>L</w:t>
            </w:r>
            <w:r w:rsidR="00FC2B39">
              <w:rPr>
                <w:rFonts w:ascii="Calibri" w:hAnsi="Calibri" w:cs="Calibri"/>
                <w:color w:val="000000"/>
                <w:szCs w:val="20"/>
              </w:rPr>
              <w:t>C01</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Linear foot of Tier 1 LED Lightbar, &lt;= 5-foot unit, no occupancy sensor control replacing multiple lamp profile</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rsidP="00FC2B39">
            <w:pPr>
              <w:rPr>
                <w:rFonts w:ascii="Calibri" w:hAnsi="Calibri" w:cs="Calibri"/>
                <w:color w:val="000000"/>
                <w:szCs w:val="20"/>
              </w:rPr>
            </w:pPr>
            <w:r w:rsidRPr="00C97374">
              <w:rPr>
                <w:rFonts w:ascii="Calibri" w:hAnsi="Calibri" w:cs="Calibri"/>
                <w:color w:val="000000"/>
                <w:szCs w:val="20"/>
              </w:rPr>
              <w:t>L</w:t>
            </w:r>
            <w:r w:rsidR="00FC2B39">
              <w:rPr>
                <w:rFonts w:ascii="Calibri" w:hAnsi="Calibri" w:cs="Calibri"/>
                <w:color w:val="000000"/>
                <w:szCs w:val="20"/>
              </w:rPr>
              <w:t>C03</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Linear foot of Tier 1 LED Lightbar, &gt; 5-foot unit, no occupancy sensor control replacing multiple lamp profile</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rsidP="00FC2B39">
            <w:pPr>
              <w:rPr>
                <w:rFonts w:ascii="Calibri" w:hAnsi="Calibri" w:cs="Calibri"/>
                <w:color w:val="000000"/>
                <w:szCs w:val="20"/>
              </w:rPr>
            </w:pPr>
            <w:r w:rsidRPr="00C97374">
              <w:rPr>
                <w:rFonts w:ascii="Calibri" w:hAnsi="Calibri" w:cs="Calibri"/>
                <w:color w:val="000000"/>
                <w:szCs w:val="20"/>
              </w:rPr>
              <w:t>L</w:t>
            </w:r>
            <w:r w:rsidR="00FC2B39">
              <w:rPr>
                <w:rFonts w:ascii="Calibri" w:hAnsi="Calibri" w:cs="Calibri"/>
                <w:color w:val="000000"/>
                <w:szCs w:val="20"/>
              </w:rPr>
              <w:t>C05</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Linear foot of Tier 2 LED Lightbar, &lt;= 5-foot unit, no occupancy sensor control replacing multiple lamp profile</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rsidP="00FC2B39">
            <w:pPr>
              <w:rPr>
                <w:rFonts w:ascii="Calibri" w:hAnsi="Calibri" w:cs="Calibri"/>
                <w:color w:val="000000"/>
                <w:szCs w:val="20"/>
              </w:rPr>
            </w:pPr>
            <w:r w:rsidRPr="00C97374">
              <w:rPr>
                <w:rFonts w:ascii="Calibri" w:hAnsi="Calibri" w:cs="Calibri"/>
                <w:color w:val="000000"/>
                <w:szCs w:val="20"/>
              </w:rPr>
              <w:t>L</w:t>
            </w:r>
            <w:r w:rsidR="00FC2B39">
              <w:rPr>
                <w:rFonts w:ascii="Calibri" w:hAnsi="Calibri" w:cs="Calibri"/>
                <w:color w:val="000000"/>
                <w:szCs w:val="20"/>
              </w:rPr>
              <w:t>C07</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 xml:space="preserve">Linear foot of Tier 2 LED Lightbar, &gt; 5-foot unit, no occupancy sensor control replacing multiple lamp profile </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rsidP="00FC2B39">
            <w:pPr>
              <w:rPr>
                <w:rFonts w:ascii="Calibri" w:hAnsi="Calibri" w:cs="Calibri"/>
                <w:color w:val="000000"/>
                <w:szCs w:val="20"/>
              </w:rPr>
            </w:pPr>
            <w:r w:rsidRPr="00C97374">
              <w:rPr>
                <w:rFonts w:ascii="Calibri" w:hAnsi="Calibri" w:cs="Calibri"/>
                <w:color w:val="000000"/>
                <w:szCs w:val="20"/>
              </w:rPr>
              <w:t>L</w:t>
            </w:r>
            <w:r w:rsidR="00FC2B39">
              <w:rPr>
                <w:rFonts w:ascii="Calibri" w:hAnsi="Calibri" w:cs="Calibri"/>
                <w:color w:val="000000"/>
                <w:szCs w:val="20"/>
              </w:rPr>
              <w:t>C09</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 xml:space="preserve">Linear foot of Tier 3 LED Lightbar, &lt;= 5-foot unit, no occupancy sensor control replacing multiple lamp profile </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rsidP="00FC2B39">
            <w:pPr>
              <w:rPr>
                <w:rFonts w:ascii="Calibri" w:hAnsi="Calibri" w:cs="Calibri"/>
                <w:color w:val="000000"/>
                <w:szCs w:val="20"/>
              </w:rPr>
            </w:pPr>
            <w:r w:rsidRPr="00C97374">
              <w:rPr>
                <w:rFonts w:ascii="Calibri" w:hAnsi="Calibri" w:cs="Calibri"/>
                <w:color w:val="000000"/>
                <w:szCs w:val="20"/>
              </w:rPr>
              <w:t>L</w:t>
            </w:r>
            <w:r w:rsidR="00FC2B39">
              <w:rPr>
                <w:rFonts w:ascii="Calibri" w:hAnsi="Calibri" w:cs="Calibri"/>
                <w:color w:val="000000"/>
                <w:szCs w:val="20"/>
              </w:rPr>
              <w:t>C11</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Linear foot of Tier 3 LED Lightbar, &gt; 5-foot unit, no occupancy sensor control replacing multiple lamp profile</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rsidP="00FC2B39">
            <w:pPr>
              <w:rPr>
                <w:rFonts w:ascii="Calibri" w:hAnsi="Calibri" w:cs="Calibri"/>
                <w:color w:val="000000"/>
                <w:szCs w:val="20"/>
              </w:rPr>
            </w:pPr>
            <w:r w:rsidRPr="00C97374">
              <w:rPr>
                <w:rFonts w:ascii="Calibri" w:hAnsi="Calibri" w:cs="Calibri"/>
                <w:color w:val="000000"/>
                <w:szCs w:val="20"/>
              </w:rPr>
              <w:t>L</w:t>
            </w:r>
            <w:r w:rsidR="00FC2B39">
              <w:rPr>
                <w:rFonts w:ascii="Calibri" w:hAnsi="Calibri" w:cs="Calibri"/>
                <w:color w:val="000000"/>
                <w:szCs w:val="20"/>
              </w:rPr>
              <w:t>C13</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 xml:space="preserve">Linear foot of Tier 4 LED Lightbar, &lt;= 5-foot unit, no occupancy sensor control replacing multiple lamp profile </w:t>
            </w:r>
          </w:p>
        </w:tc>
      </w:tr>
      <w:tr w:rsidR="00C97374" w:rsidTr="00FC2B39">
        <w:trPr>
          <w:cantSplit/>
          <w:trHeight w:hRule="exact" w:val="230"/>
          <w:tblHeader/>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C97374" w:rsidRPr="00C97374" w:rsidRDefault="00C97374" w:rsidP="00FC2B39">
            <w:pPr>
              <w:rPr>
                <w:rFonts w:ascii="Calibri" w:hAnsi="Calibri" w:cs="Calibri"/>
                <w:color w:val="000000"/>
                <w:szCs w:val="20"/>
              </w:rPr>
            </w:pPr>
            <w:r w:rsidRPr="00C97374">
              <w:rPr>
                <w:rFonts w:ascii="Calibri" w:hAnsi="Calibri" w:cs="Calibri"/>
                <w:color w:val="000000"/>
                <w:szCs w:val="20"/>
              </w:rPr>
              <w:t>L</w:t>
            </w:r>
            <w:r w:rsidR="00FC2B39">
              <w:rPr>
                <w:rFonts w:ascii="Calibri" w:hAnsi="Calibri" w:cs="Calibri"/>
                <w:color w:val="000000"/>
                <w:szCs w:val="20"/>
              </w:rPr>
              <w:t>C15</w:t>
            </w:r>
          </w:p>
        </w:tc>
        <w:tc>
          <w:tcPr>
            <w:tcW w:w="8432" w:type="dxa"/>
            <w:tcBorders>
              <w:top w:val="single" w:sz="4" w:space="0" w:color="auto"/>
              <w:left w:val="nil"/>
              <w:bottom w:val="single" w:sz="4" w:space="0" w:color="auto"/>
              <w:right w:val="single" w:sz="4" w:space="0" w:color="auto"/>
            </w:tcBorders>
            <w:shd w:val="clear" w:color="auto" w:fill="auto"/>
            <w:vAlign w:val="center"/>
          </w:tcPr>
          <w:p w:rsidR="00C97374" w:rsidRDefault="00C97374">
            <w:pPr>
              <w:rPr>
                <w:rFonts w:ascii="Calibri" w:hAnsi="Calibri" w:cs="Calibri"/>
                <w:color w:val="000000"/>
                <w:sz w:val="18"/>
                <w:szCs w:val="18"/>
              </w:rPr>
            </w:pPr>
            <w:r>
              <w:rPr>
                <w:rFonts w:ascii="Calibri" w:hAnsi="Calibri" w:cs="Calibri"/>
                <w:color w:val="000000"/>
                <w:sz w:val="18"/>
                <w:szCs w:val="18"/>
              </w:rPr>
              <w:t>Linear foot of Tier 4 LED Lightbar, &gt; 5-foot unit, no occupancy sensor control replacing multiple lamp profile</w:t>
            </w:r>
          </w:p>
        </w:tc>
      </w:tr>
    </w:tbl>
    <w:p w:rsidR="00AB4941" w:rsidRPr="00B74ABF" w:rsidRDefault="00AB4941" w:rsidP="00A93663">
      <w:pPr>
        <w:pStyle w:val="BodyText"/>
        <w:spacing w:after="0"/>
        <w:rPr>
          <w:rFonts w:cs="Arial"/>
          <w:color w:val="000000"/>
        </w:rPr>
      </w:pPr>
    </w:p>
    <w:p w:rsidR="0046138D" w:rsidRDefault="00DA7C0E" w:rsidP="0046138D">
      <w:pPr>
        <w:rPr>
          <w:rFonts w:cs="Arial"/>
          <w:color w:val="000000"/>
          <w:szCs w:val="20"/>
        </w:rPr>
      </w:pPr>
      <w:r w:rsidRPr="00B74ABF">
        <w:rPr>
          <w:rFonts w:cs="Arial"/>
          <w:color w:val="000000"/>
          <w:szCs w:val="20"/>
        </w:rPr>
        <w:t xml:space="preserve">The twenty </w:t>
      </w:r>
      <w:r w:rsidR="005476B4" w:rsidRPr="00B74ABF">
        <w:rPr>
          <w:rFonts w:cs="Arial"/>
          <w:color w:val="000000"/>
          <w:szCs w:val="20"/>
        </w:rPr>
        <w:t xml:space="preserve">eight </w:t>
      </w:r>
      <w:r w:rsidR="001514FA" w:rsidRPr="00B74ABF">
        <w:rPr>
          <w:rFonts w:cs="Arial"/>
          <w:color w:val="000000"/>
          <w:szCs w:val="20"/>
        </w:rPr>
        <w:t xml:space="preserve">new measures </w:t>
      </w:r>
      <w:r w:rsidR="00585AAA" w:rsidRPr="00B74ABF">
        <w:rPr>
          <w:rFonts w:cs="Arial"/>
          <w:color w:val="000000"/>
          <w:szCs w:val="20"/>
        </w:rPr>
        <w:t>(4</w:t>
      </w:r>
      <w:r w:rsidR="00696C2F" w:rsidRPr="00B74ABF">
        <w:rPr>
          <w:rFonts w:cs="Arial"/>
          <w:color w:val="000000"/>
          <w:szCs w:val="20"/>
        </w:rPr>
        <w:t xml:space="preserve"> tiers) </w:t>
      </w:r>
      <w:r w:rsidRPr="00B74ABF">
        <w:rPr>
          <w:rFonts w:cs="Arial"/>
          <w:color w:val="000000"/>
          <w:szCs w:val="20"/>
        </w:rPr>
        <w:t xml:space="preserve">are designed to offer customers with additional opportunities to reduce lighting and refrigeration costs. </w:t>
      </w:r>
      <w:r w:rsidR="00696C2F" w:rsidRPr="00B74ABF">
        <w:rPr>
          <w:rFonts w:cs="Arial"/>
          <w:color w:val="000000"/>
          <w:szCs w:val="20"/>
        </w:rPr>
        <w:t>Customers</w:t>
      </w:r>
      <w:r w:rsidRPr="00B74ABF">
        <w:rPr>
          <w:rFonts w:cs="Arial"/>
          <w:color w:val="000000"/>
          <w:szCs w:val="20"/>
        </w:rPr>
        <w:t xml:space="preserve"> </w:t>
      </w:r>
      <w:r w:rsidR="004152E1">
        <w:rPr>
          <w:rFonts w:cs="Arial"/>
          <w:color w:val="000000"/>
          <w:szCs w:val="20"/>
        </w:rPr>
        <w:t>can</w:t>
      </w:r>
      <w:r w:rsidRPr="00B74ABF">
        <w:rPr>
          <w:rFonts w:cs="Arial"/>
          <w:color w:val="000000"/>
          <w:szCs w:val="20"/>
        </w:rPr>
        <w:t xml:space="preserve"> </w:t>
      </w:r>
      <w:r w:rsidR="00DC33A1" w:rsidRPr="00B74ABF">
        <w:rPr>
          <w:rFonts w:cs="Arial"/>
          <w:color w:val="000000"/>
          <w:szCs w:val="20"/>
        </w:rPr>
        <w:t>choos</w:t>
      </w:r>
      <w:r w:rsidR="00DC33A1">
        <w:rPr>
          <w:rFonts w:cs="Arial"/>
          <w:color w:val="000000"/>
          <w:szCs w:val="20"/>
        </w:rPr>
        <w:t>e the</w:t>
      </w:r>
      <w:r w:rsidR="004152E1">
        <w:rPr>
          <w:rFonts w:cs="Arial"/>
          <w:color w:val="000000"/>
          <w:szCs w:val="20"/>
        </w:rPr>
        <w:t xml:space="preserve"> appropriate wattage and light output for the</w:t>
      </w:r>
      <w:r w:rsidRPr="00B74ABF">
        <w:rPr>
          <w:rFonts w:cs="Arial"/>
          <w:color w:val="000000"/>
          <w:szCs w:val="20"/>
        </w:rPr>
        <w:t xml:space="preserve"> LED case lighting </w:t>
      </w:r>
      <w:r w:rsidR="004152E1">
        <w:rPr>
          <w:rFonts w:cs="Arial"/>
          <w:color w:val="000000"/>
          <w:szCs w:val="20"/>
        </w:rPr>
        <w:t xml:space="preserve">to replace </w:t>
      </w:r>
      <w:r w:rsidR="00DC33A1">
        <w:rPr>
          <w:rFonts w:cs="Arial"/>
          <w:color w:val="000000"/>
          <w:szCs w:val="20"/>
        </w:rPr>
        <w:t xml:space="preserve">their </w:t>
      </w:r>
      <w:r w:rsidR="00DC33A1" w:rsidRPr="00B74ABF">
        <w:rPr>
          <w:rFonts w:cs="Arial"/>
          <w:color w:val="000000"/>
          <w:szCs w:val="20"/>
        </w:rPr>
        <w:t>linear</w:t>
      </w:r>
      <w:r w:rsidRPr="00B74ABF">
        <w:rPr>
          <w:rFonts w:cs="Arial"/>
          <w:color w:val="000000"/>
          <w:szCs w:val="20"/>
        </w:rPr>
        <w:t xml:space="preserve"> fluorescent </w:t>
      </w:r>
      <w:r w:rsidR="004152E1">
        <w:rPr>
          <w:rFonts w:cs="Arial"/>
          <w:color w:val="000000"/>
          <w:szCs w:val="20"/>
        </w:rPr>
        <w:t>lamps</w:t>
      </w:r>
      <w:r w:rsidRPr="00B74ABF">
        <w:rPr>
          <w:rFonts w:cs="Arial"/>
          <w:color w:val="000000"/>
          <w:szCs w:val="20"/>
        </w:rPr>
        <w:t xml:space="preserve">.  </w:t>
      </w:r>
      <w:r w:rsidR="001514FA" w:rsidRPr="00B74ABF">
        <w:rPr>
          <w:rFonts w:cs="Arial"/>
          <w:color w:val="000000"/>
          <w:szCs w:val="20"/>
        </w:rPr>
        <w:t xml:space="preserve">Additional savings </w:t>
      </w:r>
      <w:r w:rsidR="00696C2F" w:rsidRPr="00B74ABF">
        <w:rPr>
          <w:rFonts w:cs="Arial"/>
          <w:color w:val="000000"/>
          <w:szCs w:val="20"/>
        </w:rPr>
        <w:t>opportunity is available to</w:t>
      </w:r>
      <w:r w:rsidR="001514FA" w:rsidRPr="00B74ABF">
        <w:rPr>
          <w:rFonts w:cs="Arial"/>
          <w:color w:val="000000"/>
          <w:szCs w:val="20"/>
        </w:rPr>
        <w:t xml:space="preserve"> customers who further reduce kWh usage with occupancy sensors, or</w:t>
      </w:r>
      <w:r w:rsidR="004152E1">
        <w:rPr>
          <w:rFonts w:cs="Arial"/>
          <w:color w:val="000000"/>
          <w:szCs w:val="20"/>
        </w:rPr>
        <w:t xml:space="preserve"> with</w:t>
      </w:r>
      <w:r w:rsidR="001514FA" w:rsidRPr="00B74ABF">
        <w:rPr>
          <w:rFonts w:cs="Arial"/>
          <w:color w:val="000000"/>
          <w:szCs w:val="20"/>
        </w:rPr>
        <w:t xml:space="preserve"> the removal of multiple lamp profiles. </w:t>
      </w:r>
    </w:p>
    <w:p w:rsidR="004152E1" w:rsidRDefault="004152E1" w:rsidP="0046138D">
      <w:pPr>
        <w:rPr>
          <w:rFonts w:cs="Arial"/>
          <w:szCs w:val="20"/>
        </w:rPr>
      </w:pPr>
    </w:p>
    <w:p w:rsidR="0046138D" w:rsidRDefault="0046138D" w:rsidP="0046138D">
      <w:pPr>
        <w:rPr>
          <w:rFonts w:cs="Arial"/>
          <w:szCs w:val="20"/>
        </w:rPr>
      </w:pPr>
      <w:r>
        <w:rPr>
          <w:rFonts w:cs="Arial"/>
          <w:szCs w:val="20"/>
        </w:rPr>
        <w:t xml:space="preserve">The wattage limits of the tiers are designed to incentivize the sale of the most efficacious lightbars available, while also considering that certain applications require a higher wattage lightbar to provide adequate light levels. </w:t>
      </w:r>
    </w:p>
    <w:p w:rsidR="00B573CA" w:rsidRDefault="00B573CA" w:rsidP="0046138D">
      <w:pPr>
        <w:rPr>
          <w:rFonts w:cs="Arial"/>
          <w:szCs w:val="20"/>
        </w:rPr>
      </w:pPr>
    </w:p>
    <w:p w:rsidR="00B573CA" w:rsidRDefault="00B573CA" w:rsidP="0046138D">
      <w:pPr>
        <w:rPr>
          <w:rFonts w:cs="Arial"/>
          <w:szCs w:val="20"/>
        </w:rPr>
      </w:pPr>
    </w:p>
    <w:p w:rsidR="00B573CA" w:rsidRDefault="00B573CA" w:rsidP="0046138D">
      <w:pPr>
        <w:rPr>
          <w:rFonts w:cs="Arial"/>
          <w:szCs w:val="20"/>
        </w:rPr>
      </w:pPr>
    </w:p>
    <w:p w:rsidR="006608D4" w:rsidRDefault="006608D4" w:rsidP="006608D4">
      <w:pPr>
        <w:pStyle w:val="Caption"/>
        <w:keepNext/>
        <w:jc w:val="center"/>
      </w:pPr>
      <w:bookmarkStart w:id="17" w:name="_Toc437853368"/>
      <w:r>
        <w:lastRenderedPageBreak/>
        <w:t xml:space="preserve">Table </w:t>
      </w:r>
      <w:fldSimple w:instr=" SEQ Table \* ARABIC ">
        <w:r w:rsidR="007833A0">
          <w:rPr>
            <w:noProof/>
          </w:rPr>
          <w:t>2</w:t>
        </w:r>
      </w:fldSimple>
      <w:r w:rsidR="00B850C1">
        <w:t xml:space="preserve"> Product Descriptions</w:t>
      </w:r>
      <w:bookmarkEnd w:id="17"/>
    </w:p>
    <w:tbl>
      <w:tblPr>
        <w:tblpPr w:leftFromText="180" w:rightFromText="180" w:vertAnchor="text" w:horzAnchor="margin" w:tblpY="141"/>
        <w:tblW w:w="9385" w:type="dxa"/>
        <w:tblLook w:val="04A0" w:firstRow="1" w:lastRow="0" w:firstColumn="1" w:lastColumn="0" w:noHBand="0" w:noVBand="1"/>
      </w:tblPr>
      <w:tblGrid>
        <w:gridCol w:w="1877"/>
        <w:gridCol w:w="1877"/>
        <w:gridCol w:w="1877"/>
        <w:gridCol w:w="1877"/>
        <w:gridCol w:w="1877"/>
      </w:tblGrid>
      <w:tr w:rsidR="0046138D" w:rsidRPr="00AF3481" w:rsidTr="006608D4">
        <w:trPr>
          <w:trHeight w:val="498"/>
        </w:trPr>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46138D" w:rsidRPr="00AF3481" w:rsidRDefault="0046138D" w:rsidP="0046138D">
            <w:pPr>
              <w:rPr>
                <w:rFonts w:cs="Arial"/>
                <w:b/>
                <w:color w:val="000000"/>
                <w:szCs w:val="20"/>
              </w:rPr>
            </w:pPr>
            <w:r w:rsidRPr="00AF3481">
              <w:rPr>
                <w:b/>
                <w:color w:val="000000"/>
                <w:szCs w:val="20"/>
              </w:rPr>
              <w:t>Product Description</w:t>
            </w:r>
          </w:p>
        </w:tc>
        <w:tc>
          <w:tcPr>
            <w:tcW w:w="1877"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46138D" w:rsidRPr="00AF3481" w:rsidRDefault="0046138D" w:rsidP="0046138D">
            <w:pPr>
              <w:rPr>
                <w:rFonts w:cs="Arial"/>
                <w:b/>
                <w:color w:val="000000"/>
                <w:szCs w:val="20"/>
              </w:rPr>
            </w:pPr>
            <w:r w:rsidRPr="00AF3481">
              <w:rPr>
                <w:rFonts w:cs="Arial"/>
                <w:b/>
                <w:color w:val="000000"/>
                <w:szCs w:val="20"/>
              </w:rPr>
              <w:t>Wattage</w:t>
            </w:r>
          </w:p>
        </w:tc>
        <w:tc>
          <w:tcPr>
            <w:tcW w:w="1877"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46138D" w:rsidRPr="00AF3481" w:rsidRDefault="0046138D" w:rsidP="0046138D">
            <w:pPr>
              <w:rPr>
                <w:rFonts w:cs="Arial"/>
                <w:b/>
                <w:color w:val="000000"/>
                <w:szCs w:val="20"/>
              </w:rPr>
            </w:pPr>
            <w:r w:rsidRPr="00AF3481">
              <w:rPr>
                <w:rFonts w:cs="Arial"/>
                <w:b/>
                <w:color w:val="000000"/>
                <w:szCs w:val="20"/>
              </w:rPr>
              <w:t>Basecase lamp length</w:t>
            </w:r>
          </w:p>
        </w:tc>
        <w:tc>
          <w:tcPr>
            <w:tcW w:w="1877"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46138D" w:rsidRPr="00AF3481" w:rsidRDefault="0046138D" w:rsidP="0046138D">
            <w:pPr>
              <w:rPr>
                <w:rFonts w:cs="Arial"/>
                <w:b/>
                <w:color w:val="000000"/>
                <w:szCs w:val="20"/>
              </w:rPr>
            </w:pPr>
            <w:r w:rsidRPr="00AF3481">
              <w:rPr>
                <w:rFonts w:cs="Arial"/>
                <w:b/>
                <w:color w:val="000000"/>
                <w:szCs w:val="20"/>
              </w:rPr>
              <w:t>Occupancy Control</w:t>
            </w:r>
          </w:p>
        </w:tc>
        <w:tc>
          <w:tcPr>
            <w:tcW w:w="1877"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46138D" w:rsidRPr="00AF3481" w:rsidRDefault="0046138D" w:rsidP="0046138D">
            <w:pPr>
              <w:rPr>
                <w:rFonts w:cs="Arial"/>
                <w:b/>
                <w:color w:val="000000"/>
                <w:szCs w:val="20"/>
              </w:rPr>
            </w:pPr>
            <w:r w:rsidRPr="00AF3481">
              <w:rPr>
                <w:rFonts w:cs="Arial"/>
                <w:b/>
                <w:color w:val="000000"/>
                <w:szCs w:val="20"/>
              </w:rPr>
              <w:t>Basecase lamp profile</w:t>
            </w:r>
          </w:p>
        </w:tc>
      </w:tr>
      <w:tr w:rsidR="0046138D" w:rsidTr="0046138D">
        <w:trPr>
          <w:trHeight w:val="498"/>
        </w:trPr>
        <w:tc>
          <w:tcPr>
            <w:tcW w:w="1877" w:type="dxa"/>
            <w:tcBorders>
              <w:top w:val="nil"/>
              <w:left w:val="single" w:sz="4" w:space="0" w:color="auto"/>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color w:val="000000"/>
                <w:szCs w:val="20"/>
              </w:rPr>
              <w:t>Linear Foot of Tier 1 LED Lightbar</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rFonts w:cs="Arial"/>
                <w:color w:val="000000"/>
                <w:szCs w:val="20"/>
              </w:rPr>
              <w:t>&lt;=2 watts/foot</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rFonts w:cs="Arial"/>
                <w:color w:val="000000"/>
                <w:szCs w:val="20"/>
              </w:rPr>
              <w:t>&lt;=5 or &gt;5 foot lamp</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color w:val="000000"/>
                <w:szCs w:val="20"/>
              </w:rPr>
              <w:t>without occupancy sensor</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rFonts w:cs="Arial"/>
                <w:color w:val="000000"/>
                <w:szCs w:val="20"/>
              </w:rPr>
              <w:t xml:space="preserve">Replacing single or multiple lamp profile </w:t>
            </w:r>
          </w:p>
        </w:tc>
      </w:tr>
      <w:tr w:rsidR="0046138D" w:rsidTr="0046138D">
        <w:trPr>
          <w:trHeight w:val="498"/>
        </w:trPr>
        <w:tc>
          <w:tcPr>
            <w:tcW w:w="1877" w:type="dxa"/>
            <w:tcBorders>
              <w:top w:val="nil"/>
              <w:left w:val="single" w:sz="4" w:space="0" w:color="auto"/>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color w:val="000000"/>
                <w:szCs w:val="20"/>
              </w:rPr>
              <w:t>Linear foot of Tier 2 LED Lightbar</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rFonts w:cs="Arial"/>
                <w:color w:val="000000"/>
                <w:szCs w:val="20"/>
              </w:rPr>
              <w:t>&gt;2 watts/foot &lt;=4 watts/foot</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rFonts w:cs="Arial"/>
                <w:color w:val="000000"/>
                <w:szCs w:val="20"/>
              </w:rPr>
              <w:t>&lt;=5 or &gt;5 foot lamp</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color w:val="000000"/>
                <w:szCs w:val="20"/>
              </w:rPr>
              <w:t>without occupancy sensor</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rFonts w:cs="Arial"/>
                <w:color w:val="000000"/>
                <w:szCs w:val="20"/>
              </w:rPr>
              <w:t xml:space="preserve">Replacing single or multiple lamp profile </w:t>
            </w:r>
          </w:p>
        </w:tc>
      </w:tr>
      <w:tr w:rsidR="0046138D" w:rsidTr="0046138D">
        <w:trPr>
          <w:trHeight w:val="498"/>
        </w:trPr>
        <w:tc>
          <w:tcPr>
            <w:tcW w:w="1877" w:type="dxa"/>
            <w:tcBorders>
              <w:top w:val="nil"/>
              <w:left w:val="single" w:sz="4" w:space="0" w:color="auto"/>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color w:val="000000"/>
                <w:szCs w:val="20"/>
              </w:rPr>
              <w:t>Linear foot of Tier 3 LED Lightbar</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rFonts w:cs="Arial"/>
                <w:color w:val="000000"/>
                <w:szCs w:val="20"/>
              </w:rPr>
              <w:t>&gt;4 watts/foot &lt;=6 watts/foot</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rFonts w:cs="Arial"/>
                <w:color w:val="000000"/>
                <w:szCs w:val="20"/>
              </w:rPr>
              <w:t>&lt;=5 or &gt;5 foot lamp</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color w:val="000000"/>
                <w:szCs w:val="20"/>
              </w:rPr>
              <w:t>without occupancy sensor</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rFonts w:cs="Arial"/>
                <w:color w:val="000000"/>
                <w:szCs w:val="20"/>
              </w:rPr>
              <w:t xml:space="preserve">Replacing single or multiple lamp profile </w:t>
            </w:r>
          </w:p>
        </w:tc>
      </w:tr>
      <w:tr w:rsidR="0046138D" w:rsidTr="0046138D">
        <w:trPr>
          <w:trHeight w:val="498"/>
        </w:trPr>
        <w:tc>
          <w:tcPr>
            <w:tcW w:w="1877" w:type="dxa"/>
            <w:tcBorders>
              <w:top w:val="nil"/>
              <w:left w:val="single" w:sz="4" w:space="0" w:color="auto"/>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color w:val="000000"/>
                <w:szCs w:val="20"/>
              </w:rPr>
              <w:t>Linear foot of Tier 4 LED Lightbar</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rFonts w:cs="Arial"/>
                <w:color w:val="000000"/>
                <w:szCs w:val="20"/>
              </w:rPr>
              <w:t>&gt;6 watts/foot &lt;=9 watts/foot</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rFonts w:cs="Arial"/>
                <w:color w:val="000000"/>
                <w:szCs w:val="20"/>
              </w:rPr>
              <w:t>&lt;=5 or &gt;5 foot lamp</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color w:val="000000"/>
                <w:szCs w:val="20"/>
              </w:rPr>
              <w:t>without occupancy sensor</w:t>
            </w:r>
          </w:p>
        </w:tc>
        <w:tc>
          <w:tcPr>
            <w:tcW w:w="1877" w:type="dxa"/>
            <w:tcBorders>
              <w:top w:val="nil"/>
              <w:left w:val="nil"/>
              <w:bottom w:val="single" w:sz="4" w:space="0" w:color="auto"/>
              <w:right w:val="single" w:sz="4" w:space="0" w:color="auto"/>
            </w:tcBorders>
            <w:shd w:val="clear" w:color="auto" w:fill="auto"/>
            <w:hideMark/>
          </w:tcPr>
          <w:p w:rsidR="0046138D" w:rsidRDefault="0046138D" w:rsidP="0046138D">
            <w:pPr>
              <w:rPr>
                <w:rFonts w:cs="Arial"/>
                <w:color w:val="000000"/>
                <w:szCs w:val="20"/>
              </w:rPr>
            </w:pPr>
            <w:r>
              <w:rPr>
                <w:rFonts w:cs="Arial"/>
                <w:color w:val="000000"/>
                <w:szCs w:val="20"/>
              </w:rPr>
              <w:t>Replacing multiple lamp profile</w:t>
            </w:r>
          </w:p>
        </w:tc>
      </w:tr>
    </w:tbl>
    <w:p w:rsidR="0046138D" w:rsidRDefault="0046138D" w:rsidP="0046138D">
      <w:pPr>
        <w:rPr>
          <w:rFonts w:cs="Arial"/>
          <w:szCs w:val="20"/>
        </w:rPr>
      </w:pPr>
    </w:p>
    <w:p w:rsidR="0017046E" w:rsidRDefault="004152E1" w:rsidP="0046138D">
      <w:pPr>
        <w:rPr>
          <w:rFonts w:cs="Arial"/>
          <w:szCs w:val="20"/>
        </w:rPr>
      </w:pPr>
      <w:r>
        <w:rPr>
          <w:rFonts w:cs="Arial"/>
          <w:szCs w:val="20"/>
        </w:rPr>
        <w:t>Within each</w:t>
      </w:r>
      <w:r w:rsidR="0046138D" w:rsidRPr="00561189">
        <w:rPr>
          <w:rFonts w:cs="Arial"/>
          <w:szCs w:val="20"/>
        </w:rPr>
        <w:t xml:space="preserve"> tier </w:t>
      </w:r>
      <w:r>
        <w:rPr>
          <w:rFonts w:cs="Arial"/>
          <w:szCs w:val="20"/>
        </w:rPr>
        <w:t>there is an option for claiming</w:t>
      </w:r>
      <w:r w:rsidR="0046138D" w:rsidRPr="00561189">
        <w:rPr>
          <w:rFonts w:cs="Arial"/>
          <w:szCs w:val="20"/>
        </w:rPr>
        <w:t xml:space="preserve"> credit for lamp removal, </w:t>
      </w:r>
      <w:r>
        <w:rPr>
          <w:rFonts w:cs="Arial"/>
          <w:szCs w:val="20"/>
        </w:rPr>
        <w:t>for refrigerated cases where fluorescent lamps currently exist side-by-side, referred to here as</w:t>
      </w:r>
      <w:r w:rsidR="0046138D" w:rsidRPr="00561189">
        <w:rPr>
          <w:rFonts w:cs="Arial"/>
          <w:szCs w:val="20"/>
        </w:rPr>
        <w:t xml:space="preserve"> multiple lamp profile. </w:t>
      </w:r>
      <w:r>
        <w:rPr>
          <w:rFonts w:cs="Arial"/>
          <w:szCs w:val="20"/>
        </w:rPr>
        <w:t xml:space="preserve">The </w:t>
      </w:r>
      <w:r w:rsidR="0017046E">
        <w:rPr>
          <w:rFonts w:cs="Arial"/>
          <w:szCs w:val="20"/>
        </w:rPr>
        <w:t>fourth tier</w:t>
      </w:r>
      <w:r>
        <w:rPr>
          <w:rFonts w:cs="Arial"/>
          <w:szCs w:val="20"/>
        </w:rPr>
        <w:t>, for highest-wattage LED lightbars,</w:t>
      </w:r>
      <w:r w:rsidR="0017046E">
        <w:rPr>
          <w:rFonts w:cs="Arial"/>
          <w:szCs w:val="20"/>
        </w:rPr>
        <w:t xml:space="preserve"> </w:t>
      </w:r>
      <w:r>
        <w:rPr>
          <w:rFonts w:cs="Arial"/>
          <w:szCs w:val="20"/>
        </w:rPr>
        <w:t xml:space="preserve">applies to </w:t>
      </w:r>
      <w:r w:rsidR="0017046E">
        <w:rPr>
          <w:rFonts w:cs="Arial"/>
          <w:szCs w:val="20"/>
        </w:rPr>
        <w:t xml:space="preserve">the highest output horizontal lightbars, which are installed as a replacement for multiple lamp, high output canopy fixtures. </w:t>
      </w:r>
      <w:r w:rsidR="009875D0">
        <w:rPr>
          <w:rFonts w:cs="Arial"/>
          <w:szCs w:val="20"/>
        </w:rPr>
        <w:t>This tier of LED lightbar only qualifies for incentives when replacing multiple lamp profile fluorescents, as a single lamp profile basecase would provide little or no savings. This tier gives customers an option to replace multiple fluorescent lamps with a single lightbar, while qualifying for a higher incentive and increasing energy savings.</w:t>
      </w:r>
    </w:p>
    <w:p w:rsidR="0017046E" w:rsidRDefault="0017046E" w:rsidP="0046138D">
      <w:pPr>
        <w:rPr>
          <w:rFonts w:cs="Arial"/>
          <w:szCs w:val="20"/>
        </w:rPr>
      </w:pPr>
    </w:p>
    <w:p w:rsidR="00E92DE8" w:rsidRDefault="0046138D" w:rsidP="0046138D">
      <w:pPr>
        <w:rPr>
          <w:rFonts w:cs="Arial"/>
          <w:szCs w:val="20"/>
        </w:rPr>
      </w:pPr>
      <w:r>
        <w:rPr>
          <w:rFonts w:cs="Arial"/>
          <w:szCs w:val="20"/>
        </w:rPr>
        <w:t>An analysis of PG&amp;E</w:t>
      </w:r>
      <w:r w:rsidR="009875D0">
        <w:rPr>
          <w:rFonts w:cs="Arial"/>
          <w:szCs w:val="20"/>
        </w:rPr>
        <w:t>-</w:t>
      </w:r>
      <w:r>
        <w:rPr>
          <w:rFonts w:cs="Arial"/>
          <w:szCs w:val="20"/>
        </w:rPr>
        <w:t xml:space="preserve"> and Design Lights Consortium (DLC)</w:t>
      </w:r>
      <w:r w:rsidR="009875D0">
        <w:rPr>
          <w:rFonts w:cs="Arial"/>
          <w:szCs w:val="20"/>
        </w:rPr>
        <w:t>-</w:t>
      </w:r>
      <w:r>
        <w:rPr>
          <w:rFonts w:cs="Arial"/>
          <w:szCs w:val="20"/>
        </w:rPr>
        <w:t>qualified LED</w:t>
      </w:r>
      <w:r w:rsidR="009875D0">
        <w:rPr>
          <w:rFonts w:cs="Arial"/>
          <w:szCs w:val="20"/>
        </w:rPr>
        <w:t xml:space="preserve"> product</w:t>
      </w:r>
      <w:r>
        <w:rPr>
          <w:rFonts w:cs="Arial"/>
          <w:szCs w:val="20"/>
        </w:rPr>
        <w:t>s was conducted to survey the distribution of lightbars across different wattage ranges.</w:t>
      </w:r>
      <w:r w:rsidR="00E92DE8">
        <w:rPr>
          <w:rFonts w:cs="Arial"/>
          <w:szCs w:val="20"/>
        </w:rPr>
        <w:t xml:space="preserve"> PG&amp;E will continue to use the DLC listing requirements for luminous efficacy (lm/W) and light distribution for these products.</w:t>
      </w:r>
      <w:r w:rsidR="00E92DE8" w:rsidRPr="00E92DE8">
        <w:rPr>
          <w:rFonts w:cs="Arial"/>
          <w:szCs w:val="20"/>
        </w:rPr>
        <w:t xml:space="preserve"> </w:t>
      </w:r>
      <w:r w:rsidR="00E92DE8">
        <w:rPr>
          <w:rFonts w:cs="Arial"/>
          <w:szCs w:val="20"/>
        </w:rPr>
        <w:t>Determination of which of the 4 tiers, if any, a DLC-listed product qualifies for will be based on the wattage of the product.  The wattage requirement for the highest savings tier, Tier 1, is restrictive enough to mean that most products at the writing of this workpaper will not qualify, and this was done intentionally to prolong the useful life of these measures before new savings assumptions are needed, given the improvement trends in LED light output and efficacy</w:t>
      </w:r>
      <w:r w:rsidR="00F4043B">
        <w:rPr>
          <w:rFonts w:cs="Arial"/>
          <w:szCs w:val="20"/>
        </w:rPr>
        <w:t>.</w:t>
      </w:r>
    </w:p>
    <w:p w:rsidR="00E92DE8" w:rsidRDefault="00E92DE8" w:rsidP="0046138D">
      <w:pPr>
        <w:rPr>
          <w:rFonts w:cs="Arial"/>
          <w:szCs w:val="20"/>
        </w:rPr>
      </w:pPr>
    </w:p>
    <w:p w:rsidR="00DF0AA8" w:rsidRDefault="00E92DE8" w:rsidP="0046138D">
      <w:pPr>
        <w:rPr>
          <w:rFonts w:cs="Arial"/>
          <w:szCs w:val="20"/>
        </w:rPr>
      </w:pPr>
      <w:r>
        <w:rPr>
          <w:rFonts w:cs="Arial"/>
          <w:szCs w:val="20"/>
        </w:rPr>
        <w:t>A special methodology applies to the calculation of qualifying per-foot wattage for a vertical lightbar</w:t>
      </w:r>
      <w:r w:rsidR="00632071">
        <w:rPr>
          <w:rFonts w:cs="Arial"/>
          <w:szCs w:val="20"/>
        </w:rPr>
        <w:t>. This allows manufacturers to claim center-mounted and end-mounted lightbars as part of the same measure code. Most manufacturers produce a center lightbar that illuminates in two directions from a center mullion and an end lightbar</w:t>
      </w:r>
      <w:r w:rsidR="0046138D">
        <w:rPr>
          <w:rFonts w:cs="Arial"/>
          <w:szCs w:val="20"/>
        </w:rPr>
        <w:t xml:space="preserve"> </w:t>
      </w:r>
      <w:r w:rsidR="00632071">
        <w:rPr>
          <w:rFonts w:cs="Arial"/>
          <w:szCs w:val="20"/>
        </w:rPr>
        <w:t>that illuminates only one direction, to replace the fluorescent lamp mounted up against the side of a refrigerated case.</w:t>
      </w:r>
      <w:r w:rsidR="00DF0AA8">
        <w:rPr>
          <w:rFonts w:cs="Arial"/>
          <w:szCs w:val="20"/>
        </w:rPr>
        <w:t xml:space="preserve"> </w:t>
      </w:r>
      <w:r w:rsidR="00632071">
        <w:rPr>
          <w:rFonts w:cs="Arial"/>
          <w:szCs w:val="20"/>
        </w:rPr>
        <w:t xml:space="preserve">These two products are typically sold as part of the same product family. </w:t>
      </w:r>
      <w:r w:rsidR="00DF0AA8">
        <w:rPr>
          <w:rFonts w:cs="Arial"/>
          <w:szCs w:val="20"/>
        </w:rPr>
        <w:t xml:space="preserve">A few manufacturers install identical units for centers and ends. </w:t>
      </w:r>
      <w:r w:rsidR="00632071">
        <w:rPr>
          <w:rFonts w:cs="Arial"/>
          <w:szCs w:val="20"/>
        </w:rPr>
        <w:t xml:space="preserve">Rather than assign </w:t>
      </w:r>
      <w:r w:rsidR="00DF0AA8">
        <w:rPr>
          <w:rFonts w:cs="Arial"/>
          <w:szCs w:val="20"/>
        </w:rPr>
        <w:t>products in the same family</w:t>
      </w:r>
      <w:r w:rsidR="00632071">
        <w:rPr>
          <w:rFonts w:cs="Arial"/>
          <w:szCs w:val="20"/>
        </w:rPr>
        <w:t xml:space="preserve"> to different tiers, the center/end lightbar combination will be qualified for a specific tier based on the average of their wattages weighted by the </w:t>
      </w:r>
      <w:r w:rsidR="00DF0AA8">
        <w:rPr>
          <w:rFonts w:cs="Arial"/>
          <w:szCs w:val="20"/>
        </w:rPr>
        <w:t xml:space="preserve">relative </w:t>
      </w:r>
      <w:r w:rsidR="00632071">
        <w:rPr>
          <w:rFonts w:cs="Arial"/>
          <w:szCs w:val="20"/>
        </w:rPr>
        <w:t xml:space="preserve">prevalence of center and end units. The prevalence data is taken from more than 3 years of historical </w:t>
      </w:r>
      <w:r w:rsidR="00DF0AA8">
        <w:rPr>
          <w:rFonts w:cs="Arial"/>
          <w:szCs w:val="20"/>
        </w:rPr>
        <w:t>data from PG&amp;E’s ERCO program, and it was determined that there are on average 2.19 center bars for every end bar; in other words the average case has two end bars and 4.38 center bars.  The qualification wattage of a vertical lightbar combination will be calculated with this formula:</w:t>
      </w:r>
    </w:p>
    <w:p w:rsidR="00DF0AA8" w:rsidRDefault="00DF0AA8" w:rsidP="0046138D">
      <w:pPr>
        <w:rPr>
          <w:rFonts w:cs="Arial"/>
          <w:szCs w:val="20"/>
        </w:rPr>
      </w:pPr>
    </w:p>
    <w:p w:rsidR="00DF0AA8" w:rsidRDefault="00DF0AA8" w:rsidP="00DF0AA8">
      <w:pPr>
        <w:ind w:left="720"/>
        <w:rPr>
          <w:rFonts w:cs="Arial"/>
          <w:b/>
          <w:szCs w:val="20"/>
        </w:rPr>
      </w:pPr>
      <w:r>
        <w:rPr>
          <w:rFonts w:cs="Arial"/>
          <w:b/>
          <w:szCs w:val="20"/>
        </w:rPr>
        <w:t xml:space="preserve">Qualifying Wattage/foot </w:t>
      </w:r>
      <w:r w:rsidRPr="004B15E5">
        <w:rPr>
          <w:rFonts w:cs="Arial"/>
          <w:b/>
          <w:szCs w:val="20"/>
        </w:rPr>
        <w:t xml:space="preserve">= </w:t>
      </w:r>
      <w:r>
        <w:rPr>
          <w:rFonts w:cs="Arial"/>
          <w:b/>
          <w:szCs w:val="20"/>
        </w:rPr>
        <w:t xml:space="preserve">[(Center Bar </w:t>
      </w:r>
      <w:r w:rsidRPr="004B15E5">
        <w:rPr>
          <w:rFonts w:cs="Arial"/>
          <w:b/>
          <w:szCs w:val="20"/>
        </w:rPr>
        <w:t>Watts/f</w:t>
      </w:r>
      <w:r>
        <w:rPr>
          <w:rFonts w:cs="Arial"/>
          <w:b/>
          <w:szCs w:val="20"/>
        </w:rPr>
        <w:t>oot</w:t>
      </w:r>
      <w:r w:rsidRPr="004B15E5">
        <w:rPr>
          <w:rFonts w:cs="Arial"/>
          <w:b/>
          <w:szCs w:val="20"/>
        </w:rPr>
        <w:t xml:space="preserve">) x </w:t>
      </w:r>
      <w:r>
        <w:rPr>
          <w:rFonts w:cs="Arial"/>
          <w:b/>
          <w:szCs w:val="20"/>
        </w:rPr>
        <w:t xml:space="preserve">2.19 + (End Bar Watts/foot)] / </w:t>
      </w:r>
      <w:r w:rsidRPr="004B15E5">
        <w:rPr>
          <w:rFonts w:cs="Arial"/>
          <w:b/>
          <w:szCs w:val="20"/>
        </w:rPr>
        <w:t>(</w:t>
      </w:r>
      <w:r>
        <w:rPr>
          <w:rFonts w:cs="Arial"/>
          <w:b/>
          <w:szCs w:val="20"/>
        </w:rPr>
        <w:t>1 + 2.19)</w:t>
      </w:r>
    </w:p>
    <w:p w:rsidR="00DF0AA8" w:rsidRDefault="00DF0AA8" w:rsidP="0046138D">
      <w:pPr>
        <w:rPr>
          <w:rFonts w:cs="Arial"/>
          <w:szCs w:val="20"/>
        </w:rPr>
      </w:pPr>
    </w:p>
    <w:p w:rsidR="00F32FD1" w:rsidRPr="00561189" w:rsidRDefault="00F32FD1" w:rsidP="00F32FD1">
      <w:pPr>
        <w:pStyle w:val="BodyText"/>
        <w:spacing w:after="0"/>
        <w:rPr>
          <w:rFonts w:cs="Arial"/>
          <w:b/>
          <w:color w:val="000000"/>
        </w:rPr>
      </w:pPr>
      <w:r w:rsidRPr="00561189">
        <w:rPr>
          <w:rFonts w:cs="Arial"/>
          <w:b/>
          <w:color w:val="000000"/>
        </w:rPr>
        <w:t xml:space="preserve">Definitions: </w:t>
      </w:r>
    </w:p>
    <w:p w:rsidR="00F32FD1" w:rsidRPr="00561189" w:rsidRDefault="00F32FD1" w:rsidP="00F32FD1">
      <w:pPr>
        <w:pStyle w:val="BodyText"/>
        <w:spacing w:after="0"/>
        <w:ind w:right="720"/>
        <w:rPr>
          <w:rFonts w:cs="Arial"/>
          <w:color w:val="000000"/>
          <w:szCs w:val="20"/>
        </w:rPr>
      </w:pPr>
      <w:r w:rsidRPr="00561189">
        <w:rPr>
          <w:rFonts w:cs="Arial"/>
          <w:color w:val="000000"/>
          <w:szCs w:val="20"/>
        </w:rPr>
        <w:t xml:space="preserve">Refrigerated display cases come in a variety of shapes and sizes. </w:t>
      </w:r>
      <w:r w:rsidR="00DF0AA8">
        <w:rPr>
          <w:rFonts w:cs="Arial"/>
          <w:color w:val="000000"/>
          <w:szCs w:val="20"/>
        </w:rPr>
        <w:t>T</w:t>
      </w:r>
      <w:r w:rsidRPr="00561189">
        <w:rPr>
          <w:rFonts w:cs="Arial"/>
          <w:color w:val="000000"/>
          <w:szCs w:val="20"/>
        </w:rPr>
        <w:t>his work paper</w:t>
      </w:r>
      <w:r w:rsidR="00DF0AA8">
        <w:rPr>
          <w:rFonts w:cs="Arial"/>
          <w:color w:val="000000"/>
          <w:szCs w:val="20"/>
        </w:rPr>
        <w:t xml:space="preserve"> is designed to include all LED </w:t>
      </w:r>
      <w:r w:rsidR="0001009A">
        <w:rPr>
          <w:rFonts w:cs="Arial"/>
          <w:color w:val="000000"/>
          <w:szCs w:val="20"/>
        </w:rPr>
        <w:t>refrigerated case lightbars regardless of</w:t>
      </w:r>
      <w:r w:rsidRPr="00561189">
        <w:rPr>
          <w:rFonts w:cs="Arial"/>
          <w:color w:val="000000"/>
          <w:szCs w:val="20"/>
        </w:rPr>
        <w:t xml:space="preserve"> the orientation of the lighting product and whether the case is open or closed.</w:t>
      </w:r>
    </w:p>
    <w:p w:rsidR="00F32FD1" w:rsidRPr="00561189" w:rsidRDefault="00F32FD1" w:rsidP="00F32FD1">
      <w:pPr>
        <w:pStyle w:val="BodyText"/>
        <w:spacing w:after="0"/>
        <w:ind w:left="720" w:right="720"/>
        <w:rPr>
          <w:rFonts w:cs="Arial"/>
          <w:color w:val="000000"/>
          <w:szCs w:val="20"/>
        </w:rPr>
      </w:pPr>
    </w:p>
    <w:p w:rsidR="00F32FD1" w:rsidRPr="00561189" w:rsidRDefault="00F32FD1" w:rsidP="0059558F">
      <w:pPr>
        <w:pStyle w:val="BodyText"/>
        <w:spacing w:after="0"/>
        <w:ind w:left="432" w:right="720"/>
        <w:rPr>
          <w:rFonts w:cs="Arial"/>
          <w:color w:val="000000"/>
          <w:szCs w:val="20"/>
        </w:rPr>
      </w:pPr>
      <w:r w:rsidRPr="00561189">
        <w:rPr>
          <w:rFonts w:cs="Arial"/>
          <w:color w:val="000000"/>
          <w:szCs w:val="20"/>
        </w:rPr>
        <w:t xml:space="preserve">Vertical Reach-In Display Cases: “Vertical Cases” cases are either low-temp </w:t>
      </w:r>
      <w:r w:rsidR="0001009A">
        <w:rPr>
          <w:rFonts w:cs="Arial"/>
          <w:color w:val="000000"/>
          <w:szCs w:val="20"/>
        </w:rPr>
        <w:t xml:space="preserve">(i.e. freezers) </w:t>
      </w:r>
      <w:r w:rsidRPr="00561189">
        <w:rPr>
          <w:rFonts w:cs="Arial"/>
          <w:color w:val="000000"/>
          <w:szCs w:val="20"/>
        </w:rPr>
        <w:t xml:space="preserve">or medium temp </w:t>
      </w:r>
      <w:r w:rsidR="0001009A">
        <w:rPr>
          <w:rFonts w:cs="Arial"/>
          <w:color w:val="000000"/>
          <w:szCs w:val="20"/>
        </w:rPr>
        <w:t xml:space="preserve">(i.e. refrigerators) </w:t>
      </w:r>
      <w:r w:rsidRPr="00561189">
        <w:rPr>
          <w:rFonts w:cs="Arial"/>
          <w:color w:val="000000"/>
          <w:szCs w:val="20"/>
        </w:rPr>
        <w:t xml:space="preserve">and generally hold frozen and other perishable food products. Some reach-in cases are also “walk-in” for stocking purposes, but still have a </w:t>
      </w:r>
      <w:r w:rsidRPr="00561189">
        <w:rPr>
          <w:rFonts w:cs="Arial"/>
          <w:color w:val="000000"/>
          <w:szCs w:val="20"/>
        </w:rPr>
        <w:lastRenderedPageBreak/>
        <w:t>vertical door closed door facing the customer. The lights illuminating the food products are found on the bars separating two doors, called mullions, and at each end of a set of doors.</w:t>
      </w:r>
    </w:p>
    <w:p w:rsidR="00F32FD1" w:rsidRPr="00561189" w:rsidRDefault="00F32FD1" w:rsidP="00F32FD1">
      <w:pPr>
        <w:pStyle w:val="BodyText"/>
        <w:spacing w:after="0"/>
        <w:ind w:left="720" w:right="720"/>
        <w:rPr>
          <w:rFonts w:cs="Arial"/>
          <w:color w:val="000000"/>
          <w:szCs w:val="20"/>
        </w:rPr>
      </w:pPr>
    </w:p>
    <w:p w:rsidR="00F32FD1" w:rsidRPr="00561189" w:rsidRDefault="00F32FD1" w:rsidP="0059558F">
      <w:pPr>
        <w:pStyle w:val="BodyText"/>
        <w:spacing w:after="0"/>
        <w:ind w:left="432" w:right="720"/>
        <w:rPr>
          <w:rFonts w:cs="Arial"/>
          <w:color w:val="000000"/>
          <w:szCs w:val="20"/>
        </w:rPr>
      </w:pPr>
      <w:r w:rsidRPr="00561189">
        <w:rPr>
          <w:rFonts w:cs="Arial"/>
          <w:color w:val="000000"/>
          <w:szCs w:val="20"/>
        </w:rPr>
        <w:t>Horizontal, Open Case: “Horizontal Cases” are commonly referred to as “multi-deck” cases and are often found in grocery stores to display meats, dairy product</w:t>
      </w:r>
      <w:r w:rsidR="0001009A">
        <w:rPr>
          <w:rFonts w:cs="Arial"/>
          <w:color w:val="000000"/>
          <w:szCs w:val="20"/>
        </w:rPr>
        <w:t>s</w:t>
      </w:r>
      <w:r w:rsidRPr="00561189">
        <w:rPr>
          <w:rFonts w:cs="Arial"/>
          <w:color w:val="000000"/>
          <w:szCs w:val="20"/>
        </w:rPr>
        <w:t>, beverages, produce and baked goods. The lights illuminating the food products are found in three basic places:</w:t>
      </w:r>
    </w:p>
    <w:p w:rsidR="00F32FD1" w:rsidRPr="00561189" w:rsidRDefault="00F32FD1" w:rsidP="0059558F">
      <w:pPr>
        <w:pStyle w:val="BodyText"/>
        <w:numPr>
          <w:ilvl w:val="0"/>
          <w:numId w:val="23"/>
        </w:numPr>
        <w:spacing w:after="0"/>
        <w:ind w:left="792" w:right="720"/>
        <w:rPr>
          <w:rFonts w:cs="Arial"/>
          <w:color w:val="000000"/>
          <w:szCs w:val="20"/>
        </w:rPr>
      </w:pPr>
      <w:r w:rsidRPr="00561189">
        <w:rPr>
          <w:rFonts w:cs="Arial"/>
          <w:color w:val="000000"/>
          <w:szCs w:val="20"/>
        </w:rPr>
        <w:t>“Canopy” lights are down-lights located at the top of the case that can potentially illuminate all levels of a multi-deck case</w:t>
      </w:r>
    </w:p>
    <w:p w:rsidR="00F32FD1" w:rsidRPr="00561189" w:rsidRDefault="00F32FD1" w:rsidP="0059558F">
      <w:pPr>
        <w:pStyle w:val="BodyText"/>
        <w:numPr>
          <w:ilvl w:val="0"/>
          <w:numId w:val="23"/>
        </w:numPr>
        <w:spacing w:after="0"/>
        <w:ind w:left="792" w:right="720"/>
        <w:rPr>
          <w:rFonts w:cs="Arial"/>
          <w:color w:val="000000"/>
          <w:szCs w:val="20"/>
        </w:rPr>
      </w:pPr>
      <w:r w:rsidRPr="00561189">
        <w:rPr>
          <w:rFonts w:cs="Arial"/>
          <w:color w:val="000000"/>
          <w:szCs w:val="20"/>
        </w:rPr>
        <w:t>“Shelf” lights are found under multi-level shelves</w:t>
      </w:r>
    </w:p>
    <w:p w:rsidR="00DA7C0E" w:rsidRPr="00561189" w:rsidRDefault="00F32FD1" w:rsidP="0059558F">
      <w:pPr>
        <w:pStyle w:val="BodyText"/>
        <w:numPr>
          <w:ilvl w:val="0"/>
          <w:numId w:val="23"/>
        </w:numPr>
        <w:spacing w:after="0"/>
        <w:ind w:left="792" w:right="720"/>
        <w:rPr>
          <w:rFonts w:cs="Arial"/>
          <w:color w:val="000000"/>
          <w:szCs w:val="20"/>
        </w:rPr>
      </w:pPr>
      <w:r w:rsidRPr="00561189">
        <w:rPr>
          <w:rFonts w:cs="Arial"/>
          <w:color w:val="000000"/>
          <w:szCs w:val="20"/>
        </w:rPr>
        <w:t>“Nose” lights, also referred to as “rail” lights, are up-lights located at the bottom of the case closest to the consumer</w:t>
      </w:r>
    </w:p>
    <w:p w:rsidR="00DA6196" w:rsidRDefault="00DA6196" w:rsidP="00E50826">
      <w:pPr>
        <w:rPr>
          <w:rFonts w:cs="Arial"/>
          <w:b/>
          <w:i/>
        </w:rPr>
      </w:pPr>
    </w:p>
    <w:p w:rsidR="00E50826" w:rsidRPr="00AE5408" w:rsidRDefault="00E50826" w:rsidP="00E50826">
      <w:pPr>
        <w:rPr>
          <w:rFonts w:cs="Arial"/>
          <w:b/>
          <w:i/>
        </w:rPr>
      </w:pPr>
      <w:r w:rsidRPr="00AE5408">
        <w:rPr>
          <w:rFonts w:cs="Arial"/>
          <w:b/>
          <w:i/>
        </w:rPr>
        <w:t>Program Restrictions and Guidelines</w:t>
      </w:r>
    </w:p>
    <w:p w:rsidR="00942070" w:rsidRPr="00561189" w:rsidRDefault="00942070" w:rsidP="00942070">
      <w:pPr>
        <w:ind w:left="720"/>
        <w:rPr>
          <w:rFonts w:cs="Arial"/>
          <w:b/>
          <w:szCs w:val="20"/>
        </w:rPr>
      </w:pPr>
    </w:p>
    <w:p w:rsidR="0059558F" w:rsidRPr="00561189" w:rsidRDefault="00083FC8" w:rsidP="00083FC8">
      <w:pPr>
        <w:pStyle w:val="BodyText"/>
        <w:spacing w:after="0"/>
        <w:rPr>
          <w:rFonts w:cs="Arial"/>
          <w:szCs w:val="20"/>
        </w:rPr>
      </w:pPr>
      <w:r w:rsidRPr="00561189">
        <w:rPr>
          <w:rFonts w:cs="Arial"/>
          <w:szCs w:val="20"/>
        </w:rPr>
        <w:t xml:space="preserve">This program is for replace on burnout, for non-residential customers.  The delivery channel for these measures will be Midstream/Upstream Programs. </w:t>
      </w:r>
      <w:r w:rsidR="009714E3">
        <w:rPr>
          <w:rFonts w:cs="Arial"/>
          <w:szCs w:val="20"/>
        </w:rPr>
        <w:t>This measure is also available for direct install applications</w:t>
      </w:r>
      <w:r w:rsidR="00AF3481">
        <w:rPr>
          <w:rFonts w:cs="Arial"/>
          <w:szCs w:val="20"/>
        </w:rPr>
        <w:t>.</w:t>
      </w:r>
      <w:r w:rsidR="00814D8F">
        <w:rPr>
          <w:rFonts w:cs="Arial"/>
          <w:szCs w:val="20"/>
        </w:rPr>
        <w:t xml:space="preserve"> </w:t>
      </w:r>
      <w:r w:rsidRPr="00561189">
        <w:rPr>
          <w:rFonts w:cs="Arial"/>
          <w:szCs w:val="20"/>
        </w:rPr>
        <w:t xml:space="preserve">This program has no climate zone or building restrictions. </w:t>
      </w:r>
    </w:p>
    <w:p w:rsidR="0059558F" w:rsidRPr="00561189" w:rsidRDefault="0059558F" w:rsidP="0059558F">
      <w:pPr>
        <w:pStyle w:val="BodyText"/>
        <w:spacing w:after="0"/>
        <w:rPr>
          <w:rFonts w:cs="Arial"/>
          <w:szCs w:val="20"/>
        </w:rPr>
      </w:pPr>
    </w:p>
    <w:p w:rsidR="0059558F" w:rsidRPr="00561189" w:rsidRDefault="00662FB5" w:rsidP="0059558F">
      <w:pPr>
        <w:widowControl w:val="0"/>
        <w:autoSpaceDE w:val="0"/>
        <w:autoSpaceDN w:val="0"/>
        <w:adjustRightInd w:val="0"/>
        <w:rPr>
          <w:rFonts w:cs="Arial"/>
          <w:szCs w:val="20"/>
        </w:rPr>
      </w:pPr>
      <w:r w:rsidRPr="003240E5">
        <w:rPr>
          <w:rFonts w:cs="Arial"/>
          <w:szCs w:val="20"/>
        </w:rPr>
        <w:t>Horizontal and Vertical Case Lighting must be on the DesignLights Consortium qualified product list and be listed with the Department of Energy Lighting Facts Program.</w:t>
      </w:r>
      <w:r w:rsidR="00AF3481">
        <w:rPr>
          <w:rFonts w:cs="Arial"/>
          <w:szCs w:val="20"/>
        </w:rPr>
        <w:t xml:space="preserve"> </w:t>
      </w:r>
      <w:r w:rsidR="0059558F" w:rsidRPr="00561189">
        <w:rPr>
          <w:rFonts w:cs="Arial"/>
          <w:szCs w:val="20"/>
        </w:rPr>
        <w:t xml:space="preserve">The DLC specifications for horizontal and </w:t>
      </w:r>
      <w:r w:rsidR="00C33264" w:rsidRPr="00561189">
        <w:rPr>
          <w:rFonts w:cs="Arial"/>
          <w:szCs w:val="20"/>
        </w:rPr>
        <w:t>vertical refrigerated case lighting are shown here</w:t>
      </w:r>
      <w:r w:rsidR="001D3313">
        <w:rPr>
          <w:rStyle w:val="EndnoteReference"/>
          <w:rFonts w:cs="Arial"/>
          <w:szCs w:val="20"/>
        </w:rPr>
        <w:endnoteReference w:id="4"/>
      </w:r>
      <w:r w:rsidR="00C33264" w:rsidRPr="00561189">
        <w:rPr>
          <w:rFonts w:cs="Arial"/>
          <w:szCs w:val="20"/>
        </w:rPr>
        <w:t>:</w:t>
      </w:r>
    </w:p>
    <w:p w:rsidR="0059558F" w:rsidRPr="00561189" w:rsidRDefault="0059558F" w:rsidP="0059558F">
      <w:pPr>
        <w:widowControl w:val="0"/>
        <w:autoSpaceDE w:val="0"/>
        <w:autoSpaceDN w:val="0"/>
        <w:adjustRightInd w:val="0"/>
        <w:ind w:left="288"/>
        <w:rPr>
          <w:rFonts w:cs="Arial"/>
          <w:color w:val="000000"/>
        </w:rPr>
      </w:pPr>
    </w:p>
    <w:p w:rsidR="001D3313" w:rsidRDefault="001D3313" w:rsidP="001D3313">
      <w:pPr>
        <w:pStyle w:val="Caption"/>
        <w:keepNext/>
        <w:jc w:val="center"/>
      </w:pPr>
      <w:bookmarkStart w:id="18" w:name="_Toc437853369"/>
      <w:r>
        <w:t xml:space="preserve">Table </w:t>
      </w:r>
      <w:fldSimple w:instr=" SEQ Table \* ARABIC ">
        <w:r w:rsidR="007833A0">
          <w:rPr>
            <w:noProof/>
          </w:rPr>
          <w:t>3</w:t>
        </w:r>
      </w:fldSimple>
      <w:r>
        <w:t xml:space="preserve"> Technical Requirements for Display Case Luminaires from DLC</w:t>
      </w:r>
      <w:bookmarkEnd w:id="18"/>
    </w:p>
    <w:tbl>
      <w:tblPr>
        <w:tblW w:w="9483" w:type="dxa"/>
        <w:tblInd w:w="93" w:type="dxa"/>
        <w:tblLook w:val="04A0" w:firstRow="1" w:lastRow="0" w:firstColumn="1" w:lastColumn="0" w:noHBand="0" w:noVBand="1"/>
      </w:tblPr>
      <w:tblGrid>
        <w:gridCol w:w="1267"/>
        <w:gridCol w:w="1111"/>
        <w:gridCol w:w="1111"/>
        <w:gridCol w:w="1111"/>
        <w:gridCol w:w="1362"/>
        <w:gridCol w:w="1111"/>
        <w:gridCol w:w="1111"/>
        <w:gridCol w:w="1299"/>
      </w:tblGrid>
      <w:tr w:rsidR="001D3313" w:rsidRPr="001D3313" w:rsidTr="001D3313">
        <w:trPr>
          <w:trHeight w:val="300"/>
        </w:trPr>
        <w:tc>
          <w:tcPr>
            <w:tcW w:w="12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General Application</w:t>
            </w:r>
          </w:p>
        </w:tc>
        <w:tc>
          <w:tcPr>
            <w:tcW w:w="8216" w:type="dxa"/>
            <w:gridSpan w:val="7"/>
            <w:tcBorders>
              <w:top w:val="single" w:sz="4" w:space="0" w:color="auto"/>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Requirements</w:t>
            </w:r>
          </w:p>
        </w:tc>
      </w:tr>
      <w:tr w:rsidR="001D3313" w:rsidRPr="001D3313" w:rsidTr="001D3313">
        <w:trPr>
          <w:trHeight w:val="300"/>
        </w:trPr>
        <w:tc>
          <w:tcPr>
            <w:tcW w:w="1267" w:type="dxa"/>
            <w:vMerge/>
            <w:tcBorders>
              <w:top w:val="single" w:sz="4" w:space="0" w:color="auto"/>
              <w:left w:val="single" w:sz="4" w:space="0" w:color="auto"/>
              <w:bottom w:val="single" w:sz="4" w:space="0" w:color="auto"/>
              <w:right w:val="single" w:sz="4" w:space="0" w:color="auto"/>
            </w:tcBorders>
            <w:vAlign w:val="center"/>
            <w:hideMark/>
          </w:tcPr>
          <w:p w:rsidR="001D3313" w:rsidRPr="001D3313" w:rsidRDefault="001D3313" w:rsidP="001D3313">
            <w:pPr>
              <w:rPr>
                <w:rFonts w:ascii="Calibri" w:hAnsi="Calibri" w:cs="Calibri"/>
                <w:b/>
                <w:bCs/>
                <w:color w:val="000000"/>
                <w:sz w:val="22"/>
                <w:szCs w:val="22"/>
              </w:rPr>
            </w:pPr>
          </w:p>
        </w:tc>
        <w:tc>
          <w:tcPr>
            <w:tcW w:w="1111" w:type="dxa"/>
            <w:vMerge w:val="restart"/>
            <w:tcBorders>
              <w:top w:val="nil"/>
              <w:left w:val="single" w:sz="4" w:space="0" w:color="auto"/>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Minimum Light Output</w:t>
            </w:r>
          </w:p>
        </w:tc>
        <w:tc>
          <w:tcPr>
            <w:tcW w:w="3584" w:type="dxa"/>
            <w:gridSpan w:val="3"/>
            <w:tcBorders>
              <w:top w:val="single" w:sz="4" w:space="0" w:color="auto"/>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DLC Standard</w:t>
            </w:r>
          </w:p>
        </w:tc>
        <w:tc>
          <w:tcPr>
            <w:tcW w:w="3521" w:type="dxa"/>
            <w:gridSpan w:val="3"/>
            <w:tcBorders>
              <w:top w:val="single" w:sz="4" w:space="0" w:color="auto"/>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DLC Premium</w:t>
            </w:r>
          </w:p>
        </w:tc>
      </w:tr>
      <w:tr w:rsidR="001D3313" w:rsidRPr="001D3313" w:rsidTr="001D3313">
        <w:trPr>
          <w:trHeight w:val="900"/>
        </w:trPr>
        <w:tc>
          <w:tcPr>
            <w:tcW w:w="1267" w:type="dxa"/>
            <w:vMerge/>
            <w:tcBorders>
              <w:top w:val="single" w:sz="4" w:space="0" w:color="auto"/>
              <w:left w:val="single" w:sz="4" w:space="0" w:color="auto"/>
              <w:bottom w:val="single" w:sz="4" w:space="0" w:color="auto"/>
              <w:right w:val="single" w:sz="4" w:space="0" w:color="auto"/>
            </w:tcBorders>
            <w:vAlign w:val="center"/>
            <w:hideMark/>
          </w:tcPr>
          <w:p w:rsidR="001D3313" w:rsidRPr="001D3313" w:rsidRDefault="001D3313" w:rsidP="001D3313">
            <w:pPr>
              <w:rPr>
                <w:rFonts w:ascii="Calibri" w:hAnsi="Calibri" w:cs="Calibri"/>
                <w:b/>
                <w:bCs/>
                <w:color w:val="000000"/>
                <w:sz w:val="22"/>
                <w:szCs w:val="22"/>
              </w:rPr>
            </w:pPr>
          </w:p>
        </w:tc>
        <w:tc>
          <w:tcPr>
            <w:tcW w:w="1111" w:type="dxa"/>
            <w:vMerge/>
            <w:tcBorders>
              <w:top w:val="nil"/>
              <w:left w:val="single" w:sz="4" w:space="0" w:color="auto"/>
              <w:bottom w:val="single" w:sz="4" w:space="0" w:color="auto"/>
              <w:right w:val="single" w:sz="4" w:space="0" w:color="auto"/>
            </w:tcBorders>
            <w:vAlign w:val="center"/>
            <w:hideMark/>
          </w:tcPr>
          <w:p w:rsidR="001D3313" w:rsidRPr="001D3313" w:rsidRDefault="001D3313" w:rsidP="001D3313">
            <w:pPr>
              <w:rPr>
                <w:rFonts w:ascii="Calibri" w:hAnsi="Calibri" w:cs="Calibri"/>
                <w:b/>
                <w:bCs/>
                <w:color w:val="000000"/>
                <w:sz w:val="22"/>
                <w:szCs w:val="22"/>
              </w:rPr>
            </w:pPr>
          </w:p>
        </w:tc>
        <w:tc>
          <w:tcPr>
            <w:tcW w:w="1111" w:type="dxa"/>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Minimum Efficacy (lm/W)</w:t>
            </w:r>
          </w:p>
        </w:tc>
        <w:tc>
          <w:tcPr>
            <w:tcW w:w="1111" w:type="dxa"/>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Minimum Warranty (years)</w:t>
            </w:r>
          </w:p>
        </w:tc>
        <w:tc>
          <w:tcPr>
            <w:tcW w:w="1362" w:type="dxa"/>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CCT/CRI/L70</w:t>
            </w:r>
          </w:p>
        </w:tc>
        <w:tc>
          <w:tcPr>
            <w:tcW w:w="1111" w:type="dxa"/>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Minimum Efficacy (lm/W)</w:t>
            </w:r>
          </w:p>
        </w:tc>
        <w:tc>
          <w:tcPr>
            <w:tcW w:w="1111" w:type="dxa"/>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Minimum Warranty (years)</w:t>
            </w:r>
          </w:p>
        </w:tc>
        <w:tc>
          <w:tcPr>
            <w:tcW w:w="1299" w:type="dxa"/>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CCT/CRI/</w:t>
            </w:r>
            <w:r>
              <w:rPr>
                <w:rFonts w:ascii="Calibri" w:hAnsi="Calibri" w:cs="Calibri"/>
                <w:b/>
                <w:bCs/>
                <w:color w:val="000000"/>
                <w:sz w:val="22"/>
                <w:szCs w:val="22"/>
              </w:rPr>
              <w:t xml:space="preserve"> </w:t>
            </w:r>
            <w:r w:rsidRPr="001D3313">
              <w:rPr>
                <w:rFonts w:ascii="Calibri" w:hAnsi="Calibri" w:cs="Calibri"/>
                <w:b/>
                <w:bCs/>
                <w:color w:val="000000"/>
                <w:sz w:val="22"/>
                <w:szCs w:val="22"/>
              </w:rPr>
              <w:t>L90/</w:t>
            </w:r>
            <w:r>
              <w:rPr>
                <w:rFonts w:ascii="Calibri" w:hAnsi="Calibri" w:cs="Calibri"/>
                <w:b/>
                <w:bCs/>
                <w:color w:val="000000"/>
                <w:sz w:val="22"/>
                <w:szCs w:val="22"/>
              </w:rPr>
              <w:t xml:space="preserve"> </w:t>
            </w:r>
            <w:r w:rsidRPr="001D3313">
              <w:rPr>
                <w:rFonts w:ascii="Calibri" w:hAnsi="Calibri" w:cs="Calibri"/>
                <w:b/>
                <w:bCs/>
                <w:color w:val="000000"/>
                <w:sz w:val="22"/>
                <w:szCs w:val="22"/>
              </w:rPr>
              <w:t>L70</w:t>
            </w:r>
          </w:p>
        </w:tc>
      </w:tr>
      <w:tr w:rsidR="001D3313" w:rsidRPr="001D3313" w:rsidTr="001D3313">
        <w:trPr>
          <w:trHeight w:val="1200"/>
        </w:trPr>
        <w:tc>
          <w:tcPr>
            <w:tcW w:w="1267" w:type="dxa"/>
            <w:tcBorders>
              <w:top w:val="nil"/>
              <w:left w:val="single" w:sz="4" w:space="0" w:color="auto"/>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Display Case</w:t>
            </w:r>
          </w:p>
        </w:tc>
        <w:tc>
          <w:tcPr>
            <w:tcW w:w="1111" w:type="dxa"/>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50-375 lm/ft</w:t>
            </w:r>
          </w:p>
        </w:tc>
        <w:tc>
          <w:tcPr>
            <w:tcW w:w="1111" w:type="dxa"/>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50</w:t>
            </w:r>
          </w:p>
        </w:tc>
        <w:tc>
          <w:tcPr>
            <w:tcW w:w="1111" w:type="dxa"/>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5</w:t>
            </w:r>
          </w:p>
        </w:tc>
        <w:tc>
          <w:tcPr>
            <w:tcW w:w="1362" w:type="dxa"/>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 5000 / ≥ 80 / ≥ 50,000</w:t>
            </w:r>
          </w:p>
        </w:tc>
        <w:tc>
          <w:tcPr>
            <w:tcW w:w="1111" w:type="dxa"/>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85</w:t>
            </w:r>
          </w:p>
        </w:tc>
        <w:tc>
          <w:tcPr>
            <w:tcW w:w="1111" w:type="dxa"/>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5</w:t>
            </w:r>
          </w:p>
        </w:tc>
        <w:tc>
          <w:tcPr>
            <w:tcW w:w="1299" w:type="dxa"/>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 5000 / ≥ 80 / &gt;36,000 / ≥ 50,000</w:t>
            </w:r>
          </w:p>
        </w:tc>
      </w:tr>
    </w:tbl>
    <w:p w:rsidR="001D3313" w:rsidRDefault="001D3313" w:rsidP="0059558F">
      <w:pPr>
        <w:widowControl w:val="0"/>
        <w:autoSpaceDE w:val="0"/>
        <w:autoSpaceDN w:val="0"/>
        <w:adjustRightInd w:val="0"/>
        <w:spacing w:line="360" w:lineRule="auto"/>
        <w:rPr>
          <w:rFonts w:cs="Arial"/>
          <w:color w:val="000000"/>
        </w:rPr>
      </w:pPr>
    </w:p>
    <w:p w:rsidR="001D3313" w:rsidRDefault="001D3313" w:rsidP="001D3313">
      <w:pPr>
        <w:pStyle w:val="Caption"/>
        <w:keepNext/>
        <w:jc w:val="center"/>
      </w:pPr>
      <w:bookmarkStart w:id="19" w:name="_Toc437853370"/>
      <w:r>
        <w:t xml:space="preserve">Table </w:t>
      </w:r>
      <w:fldSimple w:instr=" SEQ Table \* ARABIC ">
        <w:r w:rsidR="007833A0">
          <w:rPr>
            <w:noProof/>
          </w:rPr>
          <w:t>4</w:t>
        </w:r>
      </w:fldSimple>
      <w:r>
        <w:t xml:space="preserve"> Light Output and Zonal Lumen Distribution from DLC</w:t>
      </w:r>
      <w:bookmarkEnd w:id="19"/>
    </w:p>
    <w:tbl>
      <w:tblPr>
        <w:tblW w:w="5000" w:type="pct"/>
        <w:tblLook w:val="04A0" w:firstRow="1" w:lastRow="0" w:firstColumn="1" w:lastColumn="0" w:noHBand="0" w:noVBand="1"/>
      </w:tblPr>
      <w:tblGrid>
        <w:gridCol w:w="2261"/>
        <w:gridCol w:w="1463"/>
        <w:gridCol w:w="1463"/>
        <w:gridCol w:w="1463"/>
        <w:gridCol w:w="1463"/>
        <w:gridCol w:w="1463"/>
      </w:tblGrid>
      <w:tr w:rsidR="001D3313" w:rsidRPr="001D3313" w:rsidTr="001D3313">
        <w:trPr>
          <w:trHeight w:val="900"/>
        </w:trPr>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D3313" w:rsidRPr="001D3313" w:rsidRDefault="001D3313" w:rsidP="001D3313">
            <w:pPr>
              <w:rPr>
                <w:rFonts w:ascii="Calibri" w:hAnsi="Calibri" w:cs="Calibri"/>
                <w:b/>
                <w:bCs/>
                <w:color w:val="000000"/>
                <w:sz w:val="22"/>
                <w:szCs w:val="22"/>
              </w:rPr>
            </w:pPr>
            <w:r w:rsidRPr="001D3313">
              <w:rPr>
                <w:rFonts w:ascii="Calibri" w:hAnsi="Calibri" w:cs="Calibri"/>
                <w:b/>
                <w:bCs/>
                <w:color w:val="000000"/>
                <w:sz w:val="22"/>
                <w:szCs w:val="22"/>
              </w:rPr>
              <w:t>Primary Use Designation</w:t>
            </w:r>
          </w:p>
        </w:tc>
        <w:tc>
          <w:tcPr>
            <w:tcW w:w="764" w:type="pct"/>
            <w:tcBorders>
              <w:top w:val="single" w:sz="4" w:space="0" w:color="auto"/>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Minimum Light Output (lm)</w:t>
            </w:r>
          </w:p>
        </w:tc>
        <w:tc>
          <w:tcPr>
            <w:tcW w:w="764" w:type="pct"/>
            <w:tcBorders>
              <w:top w:val="single" w:sz="4" w:space="0" w:color="auto"/>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Zone/Space Criteria</w:t>
            </w:r>
          </w:p>
        </w:tc>
        <w:tc>
          <w:tcPr>
            <w:tcW w:w="764" w:type="pct"/>
            <w:tcBorders>
              <w:top w:val="single" w:sz="4" w:space="0" w:color="auto"/>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ZLD/SC Nominal Requirement</w:t>
            </w:r>
          </w:p>
        </w:tc>
        <w:tc>
          <w:tcPr>
            <w:tcW w:w="764" w:type="pct"/>
            <w:tcBorders>
              <w:top w:val="single" w:sz="4" w:space="0" w:color="auto"/>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ZLD/SC Tolerance</w:t>
            </w:r>
          </w:p>
        </w:tc>
        <w:tc>
          <w:tcPr>
            <w:tcW w:w="764" w:type="pct"/>
            <w:tcBorders>
              <w:top w:val="single" w:sz="4" w:space="0" w:color="auto"/>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b/>
                <w:bCs/>
                <w:color w:val="000000"/>
                <w:sz w:val="22"/>
                <w:szCs w:val="22"/>
              </w:rPr>
            </w:pPr>
            <w:r w:rsidRPr="001D3313">
              <w:rPr>
                <w:rFonts w:ascii="Calibri" w:hAnsi="Calibri" w:cs="Calibri"/>
                <w:b/>
                <w:bCs/>
                <w:color w:val="000000"/>
                <w:sz w:val="22"/>
                <w:szCs w:val="22"/>
              </w:rPr>
              <w:t>ZLS/SC Requirement with Tolerance</w:t>
            </w:r>
          </w:p>
        </w:tc>
      </w:tr>
      <w:tr w:rsidR="001D3313" w:rsidRPr="001D3313" w:rsidTr="001D3313">
        <w:trPr>
          <w:trHeight w:val="600"/>
        </w:trPr>
        <w:tc>
          <w:tcPr>
            <w:tcW w:w="1180" w:type="pct"/>
            <w:tcBorders>
              <w:top w:val="nil"/>
              <w:left w:val="single" w:sz="4" w:space="0" w:color="auto"/>
              <w:bottom w:val="single" w:sz="4" w:space="0" w:color="auto"/>
              <w:right w:val="single" w:sz="4" w:space="0" w:color="auto"/>
            </w:tcBorders>
            <w:shd w:val="clear" w:color="auto" w:fill="auto"/>
            <w:vAlign w:val="bottom"/>
            <w:hideMark/>
          </w:tcPr>
          <w:p w:rsidR="001D3313" w:rsidRPr="001D3313" w:rsidRDefault="001D3313" w:rsidP="001D3313">
            <w:pPr>
              <w:rPr>
                <w:rFonts w:ascii="Calibri" w:hAnsi="Calibri" w:cs="Calibri"/>
                <w:b/>
                <w:bCs/>
                <w:color w:val="000000"/>
                <w:sz w:val="22"/>
                <w:szCs w:val="22"/>
              </w:rPr>
            </w:pPr>
            <w:r w:rsidRPr="001D3313">
              <w:rPr>
                <w:rFonts w:ascii="Calibri" w:hAnsi="Calibri" w:cs="Calibri"/>
                <w:b/>
                <w:bCs/>
                <w:color w:val="000000"/>
                <w:sz w:val="22"/>
                <w:szCs w:val="22"/>
              </w:rPr>
              <w:t>Vertical Refrigerated Case Luminaires-center**</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100 lm/ft</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10-90º</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≥95%</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-3%</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≥92%</w:t>
            </w:r>
          </w:p>
        </w:tc>
      </w:tr>
      <w:tr w:rsidR="001D3313" w:rsidRPr="001D3313" w:rsidTr="001D3313">
        <w:trPr>
          <w:trHeight w:val="600"/>
        </w:trPr>
        <w:tc>
          <w:tcPr>
            <w:tcW w:w="1180" w:type="pct"/>
            <w:tcBorders>
              <w:top w:val="nil"/>
              <w:left w:val="single" w:sz="4" w:space="0" w:color="auto"/>
              <w:bottom w:val="single" w:sz="4" w:space="0" w:color="auto"/>
              <w:right w:val="single" w:sz="4" w:space="0" w:color="auto"/>
            </w:tcBorders>
            <w:shd w:val="clear" w:color="auto" w:fill="auto"/>
            <w:vAlign w:val="bottom"/>
            <w:hideMark/>
          </w:tcPr>
          <w:p w:rsidR="001D3313" w:rsidRPr="001D3313" w:rsidRDefault="001D3313" w:rsidP="001D3313">
            <w:pPr>
              <w:rPr>
                <w:rFonts w:ascii="Calibri" w:hAnsi="Calibri" w:cs="Calibri"/>
                <w:b/>
                <w:bCs/>
                <w:color w:val="000000"/>
                <w:sz w:val="22"/>
                <w:szCs w:val="22"/>
              </w:rPr>
            </w:pPr>
            <w:r w:rsidRPr="001D3313">
              <w:rPr>
                <w:rFonts w:ascii="Calibri" w:hAnsi="Calibri" w:cs="Calibri"/>
                <w:b/>
                <w:bCs/>
                <w:color w:val="000000"/>
                <w:sz w:val="22"/>
                <w:szCs w:val="22"/>
              </w:rPr>
              <w:t>Vertical Refrigerated Case Luminaires-end***</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50 lm/ft</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10-90º</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≥95%</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-5%</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≥90%</w:t>
            </w:r>
          </w:p>
        </w:tc>
      </w:tr>
      <w:tr w:rsidR="001D3313" w:rsidRPr="001D3313" w:rsidTr="001D3313">
        <w:trPr>
          <w:trHeight w:val="600"/>
        </w:trPr>
        <w:tc>
          <w:tcPr>
            <w:tcW w:w="1180" w:type="pct"/>
            <w:tcBorders>
              <w:top w:val="nil"/>
              <w:left w:val="single" w:sz="4" w:space="0" w:color="auto"/>
              <w:bottom w:val="single" w:sz="4" w:space="0" w:color="auto"/>
              <w:right w:val="single" w:sz="4" w:space="0" w:color="auto"/>
            </w:tcBorders>
            <w:shd w:val="clear" w:color="auto" w:fill="auto"/>
            <w:vAlign w:val="bottom"/>
            <w:hideMark/>
          </w:tcPr>
          <w:p w:rsidR="001D3313" w:rsidRPr="001D3313" w:rsidRDefault="001D3313" w:rsidP="001D3313">
            <w:pPr>
              <w:rPr>
                <w:rFonts w:ascii="Calibri" w:hAnsi="Calibri" w:cs="Calibri"/>
                <w:b/>
                <w:bCs/>
                <w:color w:val="000000"/>
                <w:sz w:val="22"/>
                <w:szCs w:val="22"/>
              </w:rPr>
            </w:pPr>
            <w:r w:rsidRPr="001D3313">
              <w:rPr>
                <w:rFonts w:ascii="Calibri" w:hAnsi="Calibri" w:cs="Calibri"/>
                <w:b/>
                <w:bCs/>
                <w:color w:val="000000"/>
                <w:sz w:val="22"/>
                <w:szCs w:val="22"/>
              </w:rPr>
              <w:t>Horizontal Refrigerated Case Luminaires</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100 lm/ft</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0-90º</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≥95%</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-3%</w:t>
            </w:r>
          </w:p>
        </w:tc>
        <w:tc>
          <w:tcPr>
            <w:tcW w:w="764" w:type="pct"/>
            <w:tcBorders>
              <w:top w:val="nil"/>
              <w:left w:val="nil"/>
              <w:bottom w:val="single" w:sz="4" w:space="0" w:color="auto"/>
              <w:right w:val="single" w:sz="4" w:space="0" w:color="auto"/>
            </w:tcBorders>
            <w:shd w:val="clear" w:color="auto" w:fill="auto"/>
            <w:vAlign w:val="center"/>
            <w:hideMark/>
          </w:tcPr>
          <w:p w:rsidR="001D3313" w:rsidRPr="001D3313" w:rsidRDefault="001D3313" w:rsidP="001D3313">
            <w:pPr>
              <w:jc w:val="center"/>
              <w:rPr>
                <w:rFonts w:ascii="Calibri" w:hAnsi="Calibri" w:cs="Calibri"/>
                <w:color w:val="000000"/>
                <w:sz w:val="22"/>
                <w:szCs w:val="22"/>
              </w:rPr>
            </w:pPr>
            <w:r w:rsidRPr="001D3313">
              <w:rPr>
                <w:rFonts w:ascii="Calibri" w:hAnsi="Calibri" w:cs="Calibri"/>
                <w:color w:val="000000"/>
                <w:sz w:val="22"/>
                <w:szCs w:val="22"/>
              </w:rPr>
              <w:t>≥92%</w:t>
            </w:r>
          </w:p>
        </w:tc>
      </w:tr>
    </w:tbl>
    <w:p w:rsidR="001D3313" w:rsidRPr="00D705EF" w:rsidRDefault="001D3313" w:rsidP="0059558F">
      <w:pPr>
        <w:widowControl w:val="0"/>
        <w:autoSpaceDE w:val="0"/>
        <w:autoSpaceDN w:val="0"/>
        <w:adjustRightInd w:val="0"/>
        <w:spacing w:line="360" w:lineRule="auto"/>
        <w:rPr>
          <w:rFonts w:cs="Arial"/>
          <w:color w:val="000000"/>
        </w:rPr>
      </w:pPr>
    </w:p>
    <w:p w:rsidR="00083FC8" w:rsidRPr="00561189" w:rsidRDefault="00083FC8" w:rsidP="00083FC8">
      <w:pPr>
        <w:pStyle w:val="BodyText"/>
        <w:spacing w:after="0"/>
        <w:rPr>
          <w:rFonts w:cs="Arial"/>
        </w:rPr>
      </w:pPr>
    </w:p>
    <w:p w:rsidR="00083FC8" w:rsidRPr="00561189" w:rsidRDefault="00083FC8" w:rsidP="00083FC8">
      <w:pPr>
        <w:ind w:left="360"/>
        <w:rPr>
          <w:rFonts w:cs="Arial"/>
          <w:b/>
          <w:i/>
        </w:rPr>
      </w:pPr>
      <w:r w:rsidRPr="00561189">
        <w:rPr>
          <w:rFonts w:cs="Arial"/>
          <w:b/>
          <w:i/>
        </w:rPr>
        <w:lastRenderedPageBreak/>
        <w:t xml:space="preserve">Terms and Conditions: </w:t>
      </w:r>
    </w:p>
    <w:p w:rsidR="000D2200" w:rsidRDefault="00083FC8" w:rsidP="00C33264">
      <w:pPr>
        <w:ind w:left="360"/>
        <w:rPr>
          <w:rFonts w:cs="Arial"/>
          <w:szCs w:val="20"/>
        </w:rPr>
      </w:pPr>
      <w:r w:rsidRPr="00561189">
        <w:rPr>
          <w:rFonts w:cs="Arial"/>
          <w:szCs w:val="20"/>
        </w:rPr>
        <w:t>The customer must be a non-res</w:t>
      </w:r>
      <w:r w:rsidR="0059558F" w:rsidRPr="00561189">
        <w:rPr>
          <w:rFonts w:cs="Arial"/>
          <w:szCs w:val="20"/>
        </w:rPr>
        <w:t>idential PG&amp;E electric customer</w:t>
      </w:r>
      <w:r w:rsidR="003240E5">
        <w:rPr>
          <w:rFonts w:cs="Arial"/>
          <w:szCs w:val="20"/>
        </w:rPr>
        <w:t xml:space="preserve">. Incentives are available in two channels: </w:t>
      </w:r>
      <w:r w:rsidR="003240E5" w:rsidRPr="00561189">
        <w:rPr>
          <w:rFonts w:cs="Arial"/>
          <w:szCs w:val="20"/>
        </w:rPr>
        <w:t xml:space="preserve">for the </w:t>
      </w:r>
      <w:r w:rsidR="003240E5" w:rsidRPr="00777F66">
        <w:rPr>
          <w:rFonts w:cs="Arial"/>
          <w:szCs w:val="20"/>
        </w:rPr>
        <w:t>Midstream / Upstream</w:t>
      </w:r>
      <w:r w:rsidR="003240E5" w:rsidRPr="00561189">
        <w:rPr>
          <w:rFonts w:cs="Arial"/>
          <w:szCs w:val="20"/>
        </w:rPr>
        <w:t xml:space="preserve"> </w:t>
      </w:r>
      <w:r w:rsidR="003240E5">
        <w:rPr>
          <w:rFonts w:cs="Arial"/>
          <w:szCs w:val="20"/>
        </w:rPr>
        <w:t>channel p</w:t>
      </w:r>
      <w:r w:rsidR="0059558F" w:rsidRPr="00561189">
        <w:rPr>
          <w:rFonts w:cs="Arial"/>
          <w:szCs w:val="20"/>
        </w:rPr>
        <w:t>roducts must be sold by a Qualified Participant</w:t>
      </w:r>
      <w:r w:rsidR="003240E5">
        <w:rPr>
          <w:rFonts w:cs="Arial"/>
          <w:szCs w:val="20"/>
        </w:rPr>
        <w:t>;</w:t>
      </w:r>
      <w:r w:rsidR="0059558F" w:rsidRPr="00561189">
        <w:rPr>
          <w:rFonts w:cs="Arial"/>
          <w:szCs w:val="20"/>
        </w:rPr>
        <w:t xml:space="preserve"> </w:t>
      </w:r>
      <w:r w:rsidR="003240E5">
        <w:rPr>
          <w:rFonts w:cs="Arial"/>
          <w:szCs w:val="20"/>
        </w:rPr>
        <w:t>for the 3</w:t>
      </w:r>
      <w:r w:rsidR="003240E5" w:rsidRPr="00AF3481">
        <w:rPr>
          <w:rFonts w:cs="Arial"/>
          <w:szCs w:val="20"/>
          <w:vertAlign w:val="superscript"/>
        </w:rPr>
        <w:t>rd</w:t>
      </w:r>
      <w:r w:rsidR="003240E5">
        <w:rPr>
          <w:rFonts w:cs="Arial"/>
          <w:szCs w:val="20"/>
        </w:rPr>
        <w:t xml:space="preserve"> Party channel t</w:t>
      </w:r>
      <w:r w:rsidR="004F5C16">
        <w:rPr>
          <w:rFonts w:cs="Arial"/>
          <w:szCs w:val="20"/>
        </w:rPr>
        <w:t xml:space="preserve">hese measures could be delivered by a direct install program. </w:t>
      </w:r>
      <w:r w:rsidR="00C33264" w:rsidRPr="00561189">
        <w:rPr>
          <w:rFonts w:cs="Arial"/>
          <w:szCs w:val="20"/>
        </w:rPr>
        <w:t>All participants must sign a participation agreement and must be pre-enrolled prior to applying for incentives.</w:t>
      </w:r>
    </w:p>
    <w:p w:rsidR="000D2200" w:rsidRPr="003240E5" w:rsidRDefault="000D2200" w:rsidP="00C33264">
      <w:pPr>
        <w:ind w:left="360"/>
        <w:rPr>
          <w:rFonts w:cs="Arial"/>
          <w:szCs w:val="20"/>
        </w:rPr>
      </w:pPr>
    </w:p>
    <w:p w:rsidR="00C33264" w:rsidRPr="003240E5" w:rsidRDefault="000D2200" w:rsidP="00C33264">
      <w:pPr>
        <w:ind w:left="360"/>
        <w:rPr>
          <w:rFonts w:cs="Arial"/>
          <w:szCs w:val="20"/>
        </w:rPr>
      </w:pPr>
      <w:r w:rsidRPr="003240E5">
        <w:rPr>
          <w:rFonts w:cs="Arial"/>
          <w:szCs w:val="20"/>
        </w:rPr>
        <w:t>Horizontal and Vertical Case Lighting must be on the DesignLights Consortium qualified product list and be listed with the Department of Energy Lighting Facts Program.</w:t>
      </w:r>
      <w:r w:rsidR="00C33264" w:rsidRPr="003240E5">
        <w:rPr>
          <w:rFonts w:cs="Arial"/>
          <w:szCs w:val="20"/>
        </w:rPr>
        <w:t xml:space="preserve"> </w:t>
      </w:r>
    </w:p>
    <w:p w:rsidR="00C33264" w:rsidRPr="00B51F88" w:rsidRDefault="00C33264" w:rsidP="00C33264">
      <w:pPr>
        <w:ind w:left="720"/>
        <w:rPr>
          <w:rFonts w:cs="Arial"/>
          <w:szCs w:val="20"/>
        </w:rPr>
      </w:pPr>
    </w:p>
    <w:p w:rsidR="00764085" w:rsidRDefault="00C33264" w:rsidP="00C33264">
      <w:pPr>
        <w:ind w:left="360"/>
        <w:rPr>
          <w:rFonts w:cs="Arial"/>
          <w:szCs w:val="20"/>
        </w:rPr>
      </w:pPr>
      <w:r w:rsidRPr="009B0848">
        <w:rPr>
          <w:rFonts w:cs="Arial"/>
          <w:szCs w:val="20"/>
        </w:rPr>
        <w:t>LED lightbar savings are based on the replacement of existing single or multiple lamp fluorescent with</w:t>
      </w:r>
      <w:r w:rsidRPr="00561189">
        <w:rPr>
          <w:rFonts w:cs="Arial"/>
          <w:szCs w:val="20"/>
        </w:rPr>
        <w:t xml:space="preserve"> a new LED lightbar, </w:t>
      </w:r>
      <w:r w:rsidR="003240E5">
        <w:rPr>
          <w:rFonts w:cs="Arial"/>
          <w:szCs w:val="20"/>
        </w:rPr>
        <w:t>with a wattage below the maximum value</w:t>
      </w:r>
      <w:r w:rsidRPr="00561189">
        <w:rPr>
          <w:rFonts w:cs="Arial"/>
          <w:szCs w:val="20"/>
        </w:rPr>
        <w:t xml:space="preserve"> of one of </w:t>
      </w:r>
      <w:r w:rsidR="00585AAA" w:rsidRPr="00561189">
        <w:rPr>
          <w:rFonts w:cs="Arial"/>
          <w:szCs w:val="20"/>
        </w:rPr>
        <w:t xml:space="preserve">four </w:t>
      </w:r>
      <w:r w:rsidRPr="00561189">
        <w:rPr>
          <w:rFonts w:cs="Arial"/>
          <w:szCs w:val="20"/>
        </w:rPr>
        <w:t xml:space="preserve">tiers.  </w:t>
      </w:r>
    </w:p>
    <w:p w:rsidR="0075532A" w:rsidRDefault="0075532A" w:rsidP="00C33264">
      <w:pPr>
        <w:ind w:left="360"/>
        <w:rPr>
          <w:rFonts w:cs="Arial"/>
          <w:szCs w:val="20"/>
        </w:rPr>
      </w:pPr>
    </w:p>
    <w:p w:rsidR="00764085" w:rsidRPr="00561189" w:rsidRDefault="00764085" w:rsidP="00C33264">
      <w:pPr>
        <w:ind w:left="360"/>
        <w:rPr>
          <w:rFonts w:cs="Arial"/>
          <w:szCs w:val="20"/>
        </w:rPr>
      </w:pPr>
      <w:r>
        <w:rPr>
          <w:rFonts w:cs="Arial"/>
          <w:szCs w:val="20"/>
        </w:rPr>
        <w:t>Measure</w:t>
      </w:r>
      <w:r w:rsidRPr="00F92D56">
        <w:rPr>
          <w:rFonts w:cs="Arial"/>
          <w:szCs w:val="20"/>
        </w:rPr>
        <w:t xml:space="preserve"> length</w:t>
      </w:r>
      <w:r>
        <w:rPr>
          <w:rFonts w:cs="Arial"/>
          <w:szCs w:val="20"/>
        </w:rPr>
        <w:t>s are in whole feet only, and actual LED lightbar lengths are often slightly shorter than the</w:t>
      </w:r>
      <w:r w:rsidRPr="00F92D56">
        <w:rPr>
          <w:rFonts w:cs="Arial"/>
          <w:szCs w:val="20"/>
        </w:rPr>
        <w:t xml:space="preserve"> length of </w:t>
      </w:r>
      <w:r>
        <w:rPr>
          <w:rFonts w:cs="Arial"/>
          <w:szCs w:val="20"/>
        </w:rPr>
        <w:t>fluorescent lamp being replaced.  The measure quantity, in linear feet, is determined by the original fluorescent lamp length, and the LED lightbar may be as much as 2 inches longer or 10 inches shorter than the original fluorescent lamp.</w:t>
      </w:r>
    </w:p>
    <w:p w:rsidR="00C33264" w:rsidRPr="00561189" w:rsidRDefault="00C33264" w:rsidP="00C33264">
      <w:pPr>
        <w:rPr>
          <w:rFonts w:cs="Arial"/>
          <w:szCs w:val="20"/>
        </w:rPr>
      </w:pPr>
    </w:p>
    <w:p w:rsidR="00C33264" w:rsidRPr="00561189" w:rsidRDefault="00C33264" w:rsidP="00C33264">
      <w:pPr>
        <w:ind w:left="360"/>
        <w:rPr>
          <w:rFonts w:cs="Arial"/>
          <w:szCs w:val="20"/>
        </w:rPr>
      </w:pPr>
      <w:r w:rsidRPr="00561189">
        <w:rPr>
          <w:rFonts w:cs="Arial"/>
          <w:szCs w:val="20"/>
        </w:rPr>
        <w:t xml:space="preserve">These rebates </w:t>
      </w:r>
      <w:r w:rsidR="00585AAA" w:rsidRPr="00561189">
        <w:rPr>
          <w:rFonts w:cs="Arial"/>
          <w:szCs w:val="20"/>
        </w:rPr>
        <w:t>can</w:t>
      </w:r>
      <w:r w:rsidRPr="00561189">
        <w:rPr>
          <w:rFonts w:cs="Arial"/>
          <w:szCs w:val="20"/>
        </w:rPr>
        <w:t>not be combined with rebates from other catalog measures or other programs claiming lighting savings.</w:t>
      </w:r>
    </w:p>
    <w:p w:rsidR="00083FC8" w:rsidRPr="00561189" w:rsidRDefault="00083FC8" w:rsidP="00585AAA">
      <w:pPr>
        <w:rPr>
          <w:rFonts w:cs="Arial"/>
        </w:rPr>
      </w:pPr>
    </w:p>
    <w:p w:rsidR="00083FC8" w:rsidRPr="00561189" w:rsidRDefault="00083FC8" w:rsidP="00083FC8">
      <w:pPr>
        <w:ind w:left="360"/>
        <w:rPr>
          <w:rFonts w:cs="Arial"/>
          <w:b/>
          <w:i/>
          <w:highlight w:val="cyan"/>
        </w:rPr>
      </w:pPr>
      <w:r w:rsidRPr="00561189">
        <w:rPr>
          <w:rFonts w:cs="Arial"/>
          <w:b/>
          <w:i/>
        </w:rPr>
        <w:t xml:space="preserve">Market Applicability: </w:t>
      </w:r>
    </w:p>
    <w:p w:rsidR="00083FC8" w:rsidRPr="00561189" w:rsidRDefault="00083FC8" w:rsidP="00083FC8">
      <w:pPr>
        <w:ind w:left="360"/>
        <w:rPr>
          <w:rFonts w:cs="Arial"/>
          <w:szCs w:val="20"/>
        </w:rPr>
      </w:pPr>
      <w:r w:rsidRPr="00561189">
        <w:rPr>
          <w:rFonts w:cs="Arial"/>
          <w:szCs w:val="20"/>
        </w:rPr>
        <w:t>These measures are primarily applicable to the grocery store sector, provided that the customer meets the terms and conditions above.  In some cases, these measures may also be applicable to the small business, retail, hospitality, and hospital sectors that have lighted refrigerat</w:t>
      </w:r>
      <w:r w:rsidR="0059558F" w:rsidRPr="00561189">
        <w:rPr>
          <w:rFonts w:cs="Arial"/>
          <w:szCs w:val="20"/>
        </w:rPr>
        <w:t>ed</w:t>
      </w:r>
      <w:r w:rsidRPr="00561189">
        <w:rPr>
          <w:rFonts w:cs="Arial"/>
          <w:szCs w:val="20"/>
        </w:rPr>
        <w:t xml:space="preserve"> cases. </w:t>
      </w:r>
    </w:p>
    <w:p w:rsidR="00083FC8" w:rsidRPr="00561189" w:rsidRDefault="00083FC8" w:rsidP="00083FC8">
      <w:pPr>
        <w:ind w:left="360"/>
        <w:rPr>
          <w:rFonts w:cs="Arial"/>
        </w:rPr>
      </w:pPr>
    </w:p>
    <w:p w:rsidR="00083FC8" w:rsidRPr="00561189" w:rsidRDefault="00083FC8" w:rsidP="00083FC8">
      <w:pPr>
        <w:ind w:left="360"/>
        <w:rPr>
          <w:rFonts w:cs="Arial"/>
          <w:b/>
          <w:i/>
        </w:rPr>
      </w:pPr>
      <w:r w:rsidRPr="00561189">
        <w:rPr>
          <w:rFonts w:cs="Arial"/>
          <w:b/>
          <w:i/>
        </w:rPr>
        <w:t xml:space="preserve">Type of Transaction: </w:t>
      </w:r>
    </w:p>
    <w:p w:rsidR="00083FC8" w:rsidRPr="00561189" w:rsidRDefault="00083FC8" w:rsidP="00083FC8">
      <w:pPr>
        <w:ind w:left="360"/>
        <w:rPr>
          <w:rFonts w:cs="Arial"/>
          <w:b/>
          <w:i/>
          <w:szCs w:val="20"/>
        </w:rPr>
      </w:pPr>
      <w:r w:rsidRPr="00561189">
        <w:rPr>
          <w:rFonts w:cs="Arial"/>
          <w:szCs w:val="20"/>
        </w:rPr>
        <w:t xml:space="preserve">This measure is applicable in replace on burnout (ROB) transactions in </w:t>
      </w:r>
      <w:r w:rsidR="0059055F">
        <w:rPr>
          <w:rFonts w:cs="Arial"/>
          <w:szCs w:val="20"/>
        </w:rPr>
        <w:t xml:space="preserve">Upstream/Midstream </w:t>
      </w:r>
      <w:r w:rsidRPr="00561189">
        <w:rPr>
          <w:rFonts w:cs="Arial"/>
          <w:szCs w:val="20"/>
        </w:rPr>
        <w:t>channels</w:t>
      </w:r>
      <w:r w:rsidR="005E30D8">
        <w:rPr>
          <w:rFonts w:cs="Arial"/>
          <w:szCs w:val="20"/>
        </w:rPr>
        <w:t>, and in direct install (DI) transactions in 3</w:t>
      </w:r>
      <w:r w:rsidR="005E30D8" w:rsidRPr="005E30D8">
        <w:rPr>
          <w:rFonts w:cs="Arial"/>
          <w:szCs w:val="20"/>
          <w:vertAlign w:val="superscript"/>
        </w:rPr>
        <w:t>rd</w:t>
      </w:r>
      <w:r w:rsidR="005E30D8">
        <w:rPr>
          <w:rFonts w:cs="Arial"/>
          <w:szCs w:val="20"/>
        </w:rPr>
        <w:t xml:space="preserve"> Party channels</w:t>
      </w:r>
      <w:r w:rsidRPr="00561189">
        <w:rPr>
          <w:rFonts w:cs="Arial"/>
          <w:szCs w:val="20"/>
        </w:rPr>
        <w:t>. The rebate incentivizes the choice of lower-wattage fluorescent equipment over the base case industry standard equipment.</w:t>
      </w:r>
    </w:p>
    <w:p w:rsidR="00083FC8" w:rsidRPr="00561189" w:rsidRDefault="00083FC8" w:rsidP="00083FC8">
      <w:pPr>
        <w:ind w:left="360"/>
        <w:rPr>
          <w:rFonts w:cs="Arial"/>
        </w:rPr>
      </w:pPr>
    </w:p>
    <w:p w:rsidR="00521920" w:rsidRPr="00D705EF" w:rsidRDefault="00806070" w:rsidP="00806070">
      <w:pPr>
        <w:rPr>
          <w:rFonts w:cs="Arial"/>
          <w:b/>
          <w:i/>
          <w:sz w:val="28"/>
          <w:szCs w:val="28"/>
        </w:rPr>
      </w:pPr>
      <w:r w:rsidRPr="00D705EF">
        <w:rPr>
          <w:rFonts w:cs="Arial"/>
          <w:b/>
          <w:i/>
          <w:sz w:val="28"/>
          <w:szCs w:val="28"/>
        </w:rPr>
        <w:t xml:space="preserve">1.2 Product </w:t>
      </w:r>
      <w:r w:rsidR="00521920" w:rsidRPr="00D705EF">
        <w:rPr>
          <w:rFonts w:cs="Arial"/>
          <w:b/>
          <w:i/>
          <w:sz w:val="28"/>
          <w:szCs w:val="28"/>
        </w:rPr>
        <w:t>Technical Description</w:t>
      </w:r>
    </w:p>
    <w:p w:rsidR="00942070" w:rsidRPr="00561189" w:rsidRDefault="00942070" w:rsidP="00806070">
      <w:pPr>
        <w:rPr>
          <w:rFonts w:cs="Arial"/>
        </w:rPr>
      </w:pPr>
    </w:p>
    <w:p w:rsidR="00942070" w:rsidRPr="00561189" w:rsidRDefault="00180245" w:rsidP="00942070">
      <w:pPr>
        <w:pStyle w:val="BodyText"/>
        <w:spacing w:after="0"/>
        <w:rPr>
          <w:rFonts w:cs="Arial"/>
          <w:szCs w:val="20"/>
        </w:rPr>
      </w:pPr>
      <w:r w:rsidRPr="00561189">
        <w:rPr>
          <w:rFonts w:cs="Arial"/>
          <w:szCs w:val="20"/>
        </w:rPr>
        <w:t xml:space="preserve">The </w:t>
      </w:r>
      <w:r w:rsidR="00923A72" w:rsidRPr="00561189">
        <w:rPr>
          <w:rFonts w:cs="Arial"/>
          <w:szCs w:val="20"/>
        </w:rPr>
        <w:t>m</w:t>
      </w:r>
      <w:r w:rsidRPr="00561189">
        <w:rPr>
          <w:rFonts w:cs="Arial"/>
          <w:szCs w:val="20"/>
        </w:rPr>
        <w:t xml:space="preserve">easure </w:t>
      </w:r>
      <w:r w:rsidR="00923A72" w:rsidRPr="00561189">
        <w:rPr>
          <w:rFonts w:cs="Arial"/>
          <w:szCs w:val="20"/>
        </w:rPr>
        <w:t>c</w:t>
      </w:r>
      <w:r w:rsidRPr="00561189">
        <w:rPr>
          <w:rFonts w:cs="Arial"/>
          <w:szCs w:val="20"/>
        </w:rPr>
        <w:t>ase products</w:t>
      </w:r>
      <w:r w:rsidR="00923A72" w:rsidRPr="00561189">
        <w:rPr>
          <w:rFonts w:cs="Arial"/>
          <w:szCs w:val="20"/>
        </w:rPr>
        <w:t xml:space="preserve"> a</w:t>
      </w:r>
      <w:r w:rsidR="00561189">
        <w:rPr>
          <w:rFonts w:cs="Arial"/>
          <w:szCs w:val="20"/>
        </w:rPr>
        <w:t>re</w:t>
      </w:r>
      <w:r w:rsidRPr="00561189">
        <w:rPr>
          <w:rFonts w:cs="Arial"/>
          <w:szCs w:val="20"/>
        </w:rPr>
        <w:t xml:space="preserve"> LED</w:t>
      </w:r>
      <w:r w:rsidR="00923A72" w:rsidRPr="00561189">
        <w:rPr>
          <w:rFonts w:cs="Arial"/>
          <w:szCs w:val="20"/>
        </w:rPr>
        <w:t>s arranged in a linear, narrow “lightbar” that are</w:t>
      </w:r>
      <w:r w:rsidR="00942070" w:rsidRPr="00561189">
        <w:rPr>
          <w:rFonts w:cs="Arial"/>
          <w:szCs w:val="20"/>
        </w:rPr>
        <w:t xml:space="preserve"> installed in a vertical</w:t>
      </w:r>
      <w:r w:rsidRPr="00561189">
        <w:rPr>
          <w:rFonts w:cs="Arial"/>
          <w:szCs w:val="20"/>
        </w:rPr>
        <w:t xml:space="preserve"> or horizontal</w:t>
      </w:r>
      <w:r w:rsidR="00942070" w:rsidRPr="00561189">
        <w:rPr>
          <w:rFonts w:cs="Arial"/>
          <w:szCs w:val="20"/>
        </w:rPr>
        <w:t xml:space="preserve"> refrigerated case</w:t>
      </w:r>
      <w:r w:rsidR="00923A72" w:rsidRPr="00561189">
        <w:rPr>
          <w:rFonts w:cs="Arial"/>
          <w:szCs w:val="20"/>
        </w:rPr>
        <w:t xml:space="preserve"> and classified by wattage as Tier 1, Tier 2, Tier 3 or Tier 4</w:t>
      </w:r>
      <w:r w:rsidR="00942070" w:rsidRPr="00561189">
        <w:rPr>
          <w:rFonts w:cs="Arial"/>
          <w:szCs w:val="20"/>
        </w:rPr>
        <w:t>. The unit for these measures is “</w:t>
      </w:r>
      <w:r w:rsidRPr="00561189">
        <w:rPr>
          <w:rFonts w:cs="Arial"/>
          <w:szCs w:val="20"/>
        </w:rPr>
        <w:t>linear foot</w:t>
      </w:r>
      <w:r w:rsidR="00923A72" w:rsidRPr="00561189">
        <w:rPr>
          <w:rFonts w:cs="Arial"/>
          <w:szCs w:val="20"/>
        </w:rPr>
        <w:t>.</w:t>
      </w:r>
      <w:r w:rsidRPr="00561189">
        <w:rPr>
          <w:rFonts w:cs="Arial"/>
          <w:szCs w:val="20"/>
        </w:rPr>
        <w:t xml:space="preserve">”  </w:t>
      </w:r>
      <w:r w:rsidR="0035340F" w:rsidRPr="00561189">
        <w:rPr>
          <w:rFonts w:cs="Arial"/>
          <w:szCs w:val="20"/>
        </w:rPr>
        <w:t>A distinction is drawn between LED fixtures 5 feet and less and longer than 5 feet due to a difference in base case lamp types</w:t>
      </w:r>
      <w:r w:rsidR="00923A72" w:rsidRPr="00561189">
        <w:rPr>
          <w:rFonts w:cs="Arial"/>
          <w:szCs w:val="20"/>
        </w:rPr>
        <w:t>; T8 and T12HO respectively</w:t>
      </w:r>
      <w:r w:rsidR="0035340F" w:rsidRPr="00561189">
        <w:rPr>
          <w:rFonts w:cs="Arial"/>
          <w:szCs w:val="20"/>
        </w:rPr>
        <w:t>.</w:t>
      </w:r>
      <w:r w:rsidR="00585AAA" w:rsidRPr="00561189">
        <w:rPr>
          <w:rFonts w:cs="Arial"/>
          <w:szCs w:val="20"/>
        </w:rPr>
        <w:t xml:space="preserve"> </w:t>
      </w:r>
      <w:r w:rsidRPr="00561189">
        <w:rPr>
          <w:rFonts w:cs="Arial"/>
          <w:szCs w:val="20"/>
        </w:rPr>
        <w:t xml:space="preserve">A linear foot of LED will replace a linear foot of fluorescent lighting, in a single or multiple lamp profile. </w:t>
      </w:r>
      <w:r w:rsidR="00942070" w:rsidRPr="00561189">
        <w:rPr>
          <w:rFonts w:cs="Arial"/>
          <w:szCs w:val="20"/>
        </w:rPr>
        <w:t xml:space="preserve"> </w:t>
      </w:r>
    </w:p>
    <w:p w:rsidR="00180245" w:rsidRPr="00561189" w:rsidRDefault="00180245" w:rsidP="00942070">
      <w:pPr>
        <w:pStyle w:val="BodyText"/>
        <w:spacing w:after="0"/>
        <w:rPr>
          <w:rFonts w:cs="Arial"/>
          <w:szCs w:val="20"/>
        </w:rPr>
      </w:pPr>
    </w:p>
    <w:p w:rsidR="00180245" w:rsidRDefault="00180245" w:rsidP="00180245">
      <w:pPr>
        <w:pStyle w:val="BodyText"/>
        <w:spacing w:after="0"/>
        <w:rPr>
          <w:rFonts w:cs="Arial"/>
          <w:szCs w:val="20"/>
        </w:rPr>
      </w:pPr>
      <w:r w:rsidRPr="00561189">
        <w:rPr>
          <w:rFonts w:cs="Arial"/>
          <w:szCs w:val="20"/>
        </w:rPr>
        <w:t xml:space="preserve">The </w:t>
      </w:r>
      <w:r w:rsidR="00923A72" w:rsidRPr="00561189">
        <w:rPr>
          <w:rFonts w:cs="Arial"/>
          <w:szCs w:val="20"/>
        </w:rPr>
        <w:t>base case product</w:t>
      </w:r>
      <w:r w:rsidR="00856D49">
        <w:rPr>
          <w:rFonts w:cs="Arial"/>
          <w:szCs w:val="20"/>
        </w:rPr>
        <w:t>s</w:t>
      </w:r>
      <w:r w:rsidRPr="00561189">
        <w:rPr>
          <w:rFonts w:cs="Arial"/>
          <w:szCs w:val="20"/>
        </w:rPr>
        <w:t xml:space="preserve"> for </w:t>
      </w:r>
      <w:r w:rsidR="00923A72" w:rsidRPr="00561189">
        <w:rPr>
          <w:rFonts w:cs="Arial"/>
          <w:szCs w:val="20"/>
        </w:rPr>
        <w:t>these measures</w:t>
      </w:r>
      <w:r w:rsidRPr="00561189">
        <w:rPr>
          <w:rFonts w:cs="Arial"/>
          <w:szCs w:val="20"/>
        </w:rPr>
        <w:t xml:space="preserve"> are fluorescent lamps and balla</w:t>
      </w:r>
      <w:r w:rsidR="00FA52B4" w:rsidRPr="00561189">
        <w:rPr>
          <w:rFonts w:cs="Arial"/>
          <w:szCs w:val="20"/>
        </w:rPr>
        <w:t>sts.  Surveys of grocery stores and correspondence with vendors and manufacturers has shown that there are very few, if any, T8 lamps installed in refrigerated cases that are longer than 5 feet.  Conversely, market surveys have shown that lamps 5 feet and shorter are predomina</w:t>
      </w:r>
      <w:r w:rsidR="009A127E" w:rsidRPr="00561189">
        <w:rPr>
          <w:rFonts w:cs="Arial"/>
          <w:szCs w:val="20"/>
        </w:rPr>
        <w:t>n</w:t>
      </w:r>
      <w:r w:rsidR="00FA52B4" w:rsidRPr="00561189">
        <w:rPr>
          <w:rFonts w:cs="Arial"/>
          <w:szCs w:val="20"/>
        </w:rPr>
        <w:t xml:space="preserve">tly T8.  </w:t>
      </w:r>
      <w:r w:rsidR="00923A72" w:rsidRPr="00561189">
        <w:rPr>
          <w:rFonts w:cs="Arial"/>
          <w:szCs w:val="20"/>
        </w:rPr>
        <w:t xml:space="preserve">For </w:t>
      </w:r>
      <w:r w:rsidR="009A127E" w:rsidRPr="00561189">
        <w:rPr>
          <w:rFonts w:cs="Arial"/>
          <w:szCs w:val="20"/>
        </w:rPr>
        <w:t>the</w:t>
      </w:r>
      <w:r w:rsidR="00923A72" w:rsidRPr="00561189">
        <w:rPr>
          <w:rFonts w:cs="Arial"/>
          <w:szCs w:val="20"/>
        </w:rPr>
        <w:t xml:space="preserve"> energy</w:t>
      </w:r>
      <w:r w:rsidR="00FA52B4" w:rsidRPr="00561189">
        <w:rPr>
          <w:rFonts w:cs="Arial"/>
          <w:szCs w:val="20"/>
        </w:rPr>
        <w:t xml:space="preserve"> savings </w:t>
      </w:r>
      <w:r w:rsidR="009A127E" w:rsidRPr="00561189">
        <w:rPr>
          <w:rFonts w:cs="Arial"/>
          <w:szCs w:val="20"/>
        </w:rPr>
        <w:t xml:space="preserve">and cost </w:t>
      </w:r>
      <w:r w:rsidR="00923A72" w:rsidRPr="00561189">
        <w:rPr>
          <w:rFonts w:cs="Arial"/>
          <w:szCs w:val="20"/>
        </w:rPr>
        <w:t>calculations</w:t>
      </w:r>
      <w:r w:rsidR="009A127E" w:rsidRPr="00561189">
        <w:rPr>
          <w:rFonts w:cs="Arial"/>
          <w:szCs w:val="20"/>
        </w:rPr>
        <w:t xml:space="preserve"> in this workpaper</w:t>
      </w:r>
      <w:r w:rsidR="00FA52B4" w:rsidRPr="00561189">
        <w:rPr>
          <w:rFonts w:cs="Arial"/>
          <w:szCs w:val="20"/>
        </w:rPr>
        <w:t>, all 6 foot lamps are assumed to be T12</w:t>
      </w:r>
      <w:r w:rsidR="00923A72" w:rsidRPr="00561189">
        <w:rPr>
          <w:rFonts w:cs="Arial"/>
          <w:szCs w:val="20"/>
        </w:rPr>
        <w:t>HO</w:t>
      </w:r>
      <w:r w:rsidR="00FA52B4" w:rsidRPr="00561189">
        <w:rPr>
          <w:rFonts w:cs="Arial"/>
          <w:szCs w:val="20"/>
        </w:rPr>
        <w:t>, and all lamps 5 feet and shor</w:t>
      </w:r>
      <w:r w:rsidR="00585AAA" w:rsidRPr="00561189">
        <w:rPr>
          <w:rFonts w:cs="Arial"/>
          <w:szCs w:val="20"/>
        </w:rPr>
        <w:t>ter are assumed to be T8.</w:t>
      </w:r>
    </w:p>
    <w:p w:rsidR="00424A98" w:rsidRPr="00561189" w:rsidRDefault="00424A98" w:rsidP="00180245">
      <w:pPr>
        <w:pStyle w:val="BodyText"/>
        <w:spacing w:after="0"/>
        <w:rPr>
          <w:rFonts w:cs="Arial"/>
          <w:szCs w:val="20"/>
        </w:rPr>
      </w:pPr>
    </w:p>
    <w:p w:rsidR="009C5CA7" w:rsidRPr="00D705EF" w:rsidRDefault="009C5CA7" w:rsidP="00424A98">
      <w:pPr>
        <w:pStyle w:val="Heading2"/>
        <w:keepNext w:val="0"/>
        <w:spacing w:before="0"/>
      </w:pPr>
      <w:bookmarkStart w:id="20" w:name="_Toc437853346"/>
      <w:r w:rsidRPr="00D705EF">
        <w:t>1.</w:t>
      </w:r>
      <w:r w:rsidR="00806070" w:rsidRPr="00D705EF">
        <w:t>3</w:t>
      </w:r>
      <w:r w:rsidRPr="00D705EF">
        <w:t xml:space="preserve"> </w:t>
      </w:r>
      <w:r w:rsidR="00D00565">
        <w:t>Measure Application Type</w:t>
      </w:r>
      <w:bookmarkEnd w:id="20"/>
      <w:r w:rsidR="00FA595F" w:rsidRPr="00D705EF">
        <w:t xml:space="preserve"> </w:t>
      </w:r>
    </w:p>
    <w:p w:rsidR="00D00565" w:rsidRDefault="00D00565" w:rsidP="00D00565">
      <w:pPr>
        <w:rPr>
          <w:rFonts w:cs="Arial"/>
          <w:szCs w:val="20"/>
        </w:rPr>
      </w:pPr>
      <w:r>
        <w:rPr>
          <w:rFonts w:cs="Arial"/>
          <w:szCs w:val="20"/>
        </w:rPr>
        <w:t xml:space="preserve">The DEER Measure Cost Data Users Guide found on </w:t>
      </w:r>
      <w:hyperlink r:id="rId16" w:history="1">
        <w:r>
          <w:rPr>
            <w:rStyle w:val="Hyperlink"/>
            <w:rFonts w:cs="Arial"/>
            <w:szCs w:val="20"/>
          </w:rPr>
          <w:t>www.deeresources.com</w:t>
        </w:r>
      </w:hyperlink>
      <w:r>
        <w:rPr>
          <w:rFonts w:cs="Arial"/>
          <w:szCs w:val="20"/>
        </w:rPr>
        <w:t xml:space="preserve"> under </w:t>
      </w:r>
      <w:r>
        <w:rPr>
          <w:rFonts w:cs="Arial"/>
          <w:i/>
          <w:szCs w:val="20"/>
        </w:rPr>
        <w:t>DEER2011 Database Format</w:t>
      </w:r>
      <w:r>
        <w:rPr>
          <w:rFonts w:cs="Arial"/>
          <w:szCs w:val="20"/>
        </w:rPr>
        <w:t xml:space="preserve"> hyperlink, </w:t>
      </w:r>
      <w:r>
        <w:rPr>
          <w:rStyle w:val="breadcrumbs"/>
          <w:rFonts w:cs="Arial"/>
          <w:color w:val="333333"/>
          <w:szCs w:val="20"/>
          <w:lang w:val="en-GB"/>
        </w:rPr>
        <w:t>DEER2011 for 13-14</w:t>
      </w:r>
      <w:r>
        <w:rPr>
          <w:rFonts w:cs="Arial"/>
          <w:color w:val="333333"/>
          <w:szCs w:val="20"/>
          <w:lang w:val="en-GB"/>
        </w:rPr>
        <w:t>,</w:t>
      </w:r>
      <w:r>
        <w:rPr>
          <w:rFonts w:cs="Arial"/>
          <w:szCs w:val="20"/>
        </w:rPr>
        <w:t xml:space="preserve"> spreadsheet </w:t>
      </w:r>
      <w:r>
        <w:rPr>
          <w:rFonts w:cs="Arial"/>
          <w:i/>
          <w:szCs w:val="20"/>
        </w:rPr>
        <w:t>SPTdata_format-V0.97.xls</w:t>
      </w:r>
      <w:r>
        <w:rPr>
          <w:rFonts w:cs="Arial"/>
          <w:szCs w:val="20"/>
        </w:rPr>
        <w:t>, defines the terms as follows:</w:t>
      </w:r>
    </w:p>
    <w:p w:rsidR="00D00565" w:rsidRDefault="00D00565" w:rsidP="00D00565">
      <w:pPr>
        <w:rPr>
          <w:rFonts w:cs="Arial"/>
          <w:i/>
        </w:rPr>
      </w:pPr>
    </w:p>
    <w:p w:rsidR="00D00565" w:rsidRDefault="00D00565" w:rsidP="00D00565">
      <w:pPr>
        <w:pStyle w:val="Caption"/>
        <w:keepNext/>
        <w:rPr>
          <w:rFonts w:cs="Arial"/>
          <w:sz w:val="26"/>
          <w:szCs w:val="26"/>
        </w:rPr>
      </w:pPr>
      <w:bookmarkStart w:id="21" w:name="_Toc324427642"/>
      <w:bookmarkStart w:id="22" w:name="_Toc383090723"/>
      <w:bookmarkStart w:id="23" w:name="_Toc384115368"/>
      <w:bookmarkStart w:id="24" w:name="_Toc437853371"/>
      <w:r>
        <w:rPr>
          <w:rFonts w:cs="Arial"/>
        </w:rPr>
        <w:lastRenderedPageBreak/>
        <w:t xml:space="preserve">Table </w:t>
      </w:r>
      <w:r>
        <w:fldChar w:fldCharType="begin"/>
      </w:r>
      <w:r>
        <w:rPr>
          <w:rFonts w:cs="Arial"/>
        </w:rPr>
        <w:instrText xml:space="preserve"> SEQ Table \* ARABIC </w:instrText>
      </w:r>
      <w:r>
        <w:fldChar w:fldCharType="separate"/>
      </w:r>
      <w:r w:rsidR="007833A0">
        <w:rPr>
          <w:rFonts w:cs="Arial"/>
          <w:noProof/>
        </w:rPr>
        <w:t>5</w:t>
      </w:r>
      <w:r>
        <w:fldChar w:fldCharType="end"/>
      </w:r>
      <w:r>
        <w:rPr>
          <w:rFonts w:cs="Arial"/>
          <w:sz w:val="26"/>
          <w:szCs w:val="26"/>
        </w:rPr>
        <w:t xml:space="preserve"> </w:t>
      </w:r>
      <w:bookmarkStart w:id="25" w:name="RANGE!B222"/>
      <w:r>
        <w:rPr>
          <w:rFonts w:cs="Arial"/>
        </w:rPr>
        <w:t>Measure Application Type</w:t>
      </w:r>
      <w:bookmarkEnd w:id="21"/>
      <w:bookmarkEnd w:id="25"/>
      <w:r>
        <w:rPr>
          <w:rStyle w:val="EndnoteReference"/>
          <w:rFonts w:cs="Arial"/>
        </w:rPr>
        <w:endnoteReference w:id="5"/>
      </w:r>
      <w:bookmarkEnd w:id="22"/>
      <w:bookmarkEnd w:id="23"/>
      <w:bookmarkEnd w:id="24"/>
    </w:p>
    <w:p w:rsidR="00D00565" w:rsidRDefault="00D00565" w:rsidP="00D00565">
      <w:pPr>
        <w:keepNext/>
        <w:rPr>
          <w:rFonts w:cs="Arial"/>
          <w:szCs w:val="20"/>
        </w:rPr>
      </w:pPr>
      <w:r>
        <w:rPr>
          <w:rFonts w:cs="Arial"/>
          <w:szCs w:val="20"/>
        </w:rPr>
        <w:t>Identifies the measure application type in the Measure Implemenation table in DEER201</w:t>
      </w:r>
      <w:r w:rsidR="00814947">
        <w:rPr>
          <w:rFonts w:cs="Arial"/>
          <w:szCs w:val="20"/>
        </w:rPr>
        <w:t>6</w:t>
      </w:r>
      <w:r>
        <w:rPr>
          <w:rFonts w:cs="Arial"/>
          <w:szCs w:val="20"/>
        </w:rPr>
        <w:t>.</w:t>
      </w:r>
    </w:p>
    <w:p w:rsidR="00D00565" w:rsidRDefault="00D00565" w:rsidP="00D00565">
      <w:pPr>
        <w:keepNext/>
        <w:rPr>
          <w:rFonts w:cs="Arial"/>
        </w:rPr>
      </w:pPr>
    </w:p>
    <w:tbl>
      <w:tblPr>
        <w:tblW w:w="9090" w:type="dxa"/>
        <w:tblInd w:w="108" w:type="dxa"/>
        <w:tblLook w:val="04A0" w:firstRow="1" w:lastRow="0" w:firstColumn="1" w:lastColumn="0" w:noHBand="0" w:noVBand="1"/>
      </w:tblPr>
      <w:tblGrid>
        <w:gridCol w:w="900"/>
        <w:gridCol w:w="2610"/>
        <w:gridCol w:w="5580"/>
      </w:tblGrid>
      <w:tr w:rsidR="00D00565" w:rsidTr="00D00565">
        <w:trPr>
          <w:trHeight w:val="315"/>
        </w:trPr>
        <w:tc>
          <w:tcPr>
            <w:tcW w:w="900" w:type="dxa"/>
            <w:tcBorders>
              <w:top w:val="single" w:sz="4" w:space="0" w:color="auto"/>
              <w:left w:val="single" w:sz="4" w:space="0" w:color="auto"/>
              <w:bottom w:val="single" w:sz="8" w:space="0" w:color="auto"/>
              <w:right w:val="nil"/>
            </w:tcBorders>
            <w:shd w:val="clear" w:color="auto" w:fill="D9D9D9"/>
            <w:noWrap/>
            <w:vAlign w:val="bottom"/>
            <w:hideMark/>
          </w:tcPr>
          <w:p w:rsidR="00D00565" w:rsidRDefault="00D00565">
            <w:pPr>
              <w:keepNext/>
              <w:rPr>
                <w:rFonts w:cs="Arial"/>
                <w:b/>
                <w:color w:val="000000"/>
                <w:szCs w:val="22"/>
              </w:rPr>
            </w:pPr>
            <w:r>
              <w:rPr>
                <w:rFonts w:cs="Arial"/>
                <w:b/>
                <w:color w:val="000000"/>
                <w:szCs w:val="22"/>
              </w:rPr>
              <w:t>Code</w:t>
            </w:r>
          </w:p>
        </w:tc>
        <w:tc>
          <w:tcPr>
            <w:tcW w:w="2610" w:type="dxa"/>
            <w:tcBorders>
              <w:top w:val="single" w:sz="4" w:space="0" w:color="auto"/>
              <w:left w:val="nil"/>
              <w:bottom w:val="single" w:sz="8" w:space="0" w:color="auto"/>
              <w:right w:val="nil"/>
            </w:tcBorders>
            <w:shd w:val="clear" w:color="auto" w:fill="D9D9D9"/>
            <w:noWrap/>
            <w:vAlign w:val="bottom"/>
            <w:hideMark/>
          </w:tcPr>
          <w:p w:rsidR="00D00565" w:rsidRDefault="00D00565">
            <w:pPr>
              <w:keepNext/>
              <w:rPr>
                <w:rFonts w:cs="Arial"/>
                <w:b/>
                <w:color w:val="000000"/>
                <w:szCs w:val="22"/>
              </w:rPr>
            </w:pPr>
            <w:r>
              <w:rPr>
                <w:rFonts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auto" w:fill="D9D9D9"/>
            <w:noWrap/>
            <w:vAlign w:val="bottom"/>
            <w:hideMark/>
          </w:tcPr>
          <w:p w:rsidR="00D00565" w:rsidRDefault="00D00565">
            <w:pPr>
              <w:keepNext/>
              <w:rPr>
                <w:rFonts w:cs="Arial"/>
                <w:b/>
                <w:color w:val="000000"/>
                <w:szCs w:val="22"/>
              </w:rPr>
            </w:pPr>
            <w:r>
              <w:rPr>
                <w:rFonts w:cs="Arial"/>
                <w:b/>
                <w:color w:val="000000"/>
                <w:szCs w:val="22"/>
              </w:rPr>
              <w:t>Comment</w:t>
            </w:r>
          </w:p>
        </w:tc>
      </w:tr>
      <w:tr w:rsidR="00D00565" w:rsidTr="00D00565">
        <w:trPr>
          <w:trHeight w:val="600"/>
        </w:trPr>
        <w:tc>
          <w:tcPr>
            <w:tcW w:w="900" w:type="dxa"/>
            <w:tcBorders>
              <w:top w:val="nil"/>
              <w:left w:val="single" w:sz="4" w:space="0" w:color="auto"/>
              <w:bottom w:val="nil"/>
              <w:right w:val="nil"/>
            </w:tcBorders>
            <w:noWrap/>
            <w:vAlign w:val="center"/>
            <w:hideMark/>
          </w:tcPr>
          <w:p w:rsidR="00D00565" w:rsidRDefault="00D00565">
            <w:pPr>
              <w:keepNext/>
              <w:rPr>
                <w:rFonts w:cs="Arial"/>
                <w:i/>
                <w:szCs w:val="20"/>
              </w:rPr>
            </w:pPr>
            <w:r>
              <w:rPr>
                <w:rFonts w:cs="Arial"/>
                <w:i/>
                <w:szCs w:val="20"/>
              </w:rPr>
              <w:t>ER</w:t>
            </w:r>
          </w:p>
        </w:tc>
        <w:tc>
          <w:tcPr>
            <w:tcW w:w="2610" w:type="dxa"/>
            <w:noWrap/>
            <w:vAlign w:val="center"/>
            <w:hideMark/>
          </w:tcPr>
          <w:p w:rsidR="00D00565" w:rsidRDefault="00D00565">
            <w:pPr>
              <w:keepNext/>
              <w:rPr>
                <w:rFonts w:cs="Arial"/>
                <w:i/>
                <w:szCs w:val="20"/>
              </w:rPr>
            </w:pPr>
            <w:r>
              <w:rPr>
                <w:rFonts w:cs="Arial"/>
                <w:i/>
                <w:szCs w:val="20"/>
              </w:rPr>
              <w:t>Early retirement</w:t>
            </w:r>
          </w:p>
        </w:tc>
        <w:tc>
          <w:tcPr>
            <w:tcW w:w="5580" w:type="dxa"/>
            <w:tcBorders>
              <w:top w:val="nil"/>
              <w:left w:val="nil"/>
              <w:bottom w:val="nil"/>
              <w:right w:val="single" w:sz="4" w:space="0" w:color="auto"/>
            </w:tcBorders>
            <w:vAlign w:val="center"/>
            <w:hideMark/>
          </w:tcPr>
          <w:p w:rsidR="00D00565" w:rsidRDefault="00D00565">
            <w:pPr>
              <w:keepNext/>
              <w:rPr>
                <w:rFonts w:cs="Arial"/>
                <w:i/>
                <w:szCs w:val="20"/>
              </w:rPr>
            </w:pPr>
            <w:r>
              <w:rPr>
                <w:rFonts w:cs="Arial"/>
                <w:i/>
                <w:szCs w:val="20"/>
              </w:rPr>
              <w:t>measure applied while existing equipment still viable, or retrofit of existing equipment</w:t>
            </w:r>
          </w:p>
        </w:tc>
      </w:tr>
      <w:tr w:rsidR="00D00565" w:rsidTr="00D00565">
        <w:trPr>
          <w:trHeight w:val="600"/>
        </w:trPr>
        <w:tc>
          <w:tcPr>
            <w:tcW w:w="900" w:type="dxa"/>
            <w:tcBorders>
              <w:top w:val="nil"/>
              <w:left w:val="single" w:sz="4" w:space="0" w:color="auto"/>
              <w:bottom w:val="nil"/>
              <w:right w:val="nil"/>
            </w:tcBorders>
            <w:noWrap/>
            <w:vAlign w:val="center"/>
            <w:hideMark/>
          </w:tcPr>
          <w:p w:rsidR="00D00565" w:rsidRDefault="00D00565">
            <w:pPr>
              <w:keepNext/>
              <w:rPr>
                <w:rFonts w:cs="Arial"/>
                <w:i/>
                <w:szCs w:val="20"/>
              </w:rPr>
            </w:pPr>
            <w:r>
              <w:rPr>
                <w:rFonts w:cs="Arial"/>
                <w:i/>
                <w:szCs w:val="20"/>
              </w:rPr>
              <w:t>ROB</w:t>
            </w:r>
          </w:p>
        </w:tc>
        <w:tc>
          <w:tcPr>
            <w:tcW w:w="2610" w:type="dxa"/>
            <w:noWrap/>
            <w:vAlign w:val="center"/>
            <w:hideMark/>
          </w:tcPr>
          <w:p w:rsidR="00D00565" w:rsidRDefault="00D00565">
            <w:pPr>
              <w:keepNext/>
              <w:rPr>
                <w:rFonts w:cs="Arial"/>
                <w:i/>
                <w:szCs w:val="20"/>
              </w:rPr>
            </w:pPr>
            <w:r>
              <w:rPr>
                <w:rFonts w:cs="Arial"/>
                <w:i/>
                <w:szCs w:val="20"/>
              </w:rPr>
              <w:t>Replace on Burnout</w:t>
            </w:r>
          </w:p>
        </w:tc>
        <w:tc>
          <w:tcPr>
            <w:tcW w:w="5580" w:type="dxa"/>
            <w:tcBorders>
              <w:top w:val="nil"/>
              <w:left w:val="nil"/>
              <w:bottom w:val="nil"/>
              <w:right w:val="single" w:sz="4" w:space="0" w:color="auto"/>
            </w:tcBorders>
            <w:vAlign w:val="center"/>
            <w:hideMark/>
          </w:tcPr>
          <w:p w:rsidR="00D00565" w:rsidRDefault="00D00565">
            <w:pPr>
              <w:keepNext/>
              <w:rPr>
                <w:rFonts w:cs="Arial"/>
                <w:i/>
                <w:szCs w:val="20"/>
              </w:rPr>
            </w:pPr>
            <w:r>
              <w:rPr>
                <w:rFonts w:cs="Arial"/>
                <w:i/>
                <w:szCs w:val="20"/>
              </w:rPr>
              <w:t>measure applied when existing equipment fails or maintenance requires replacement</w:t>
            </w:r>
          </w:p>
        </w:tc>
      </w:tr>
      <w:tr w:rsidR="004629A7" w:rsidTr="00777F66">
        <w:trPr>
          <w:trHeight w:val="600"/>
        </w:trPr>
        <w:tc>
          <w:tcPr>
            <w:tcW w:w="900" w:type="dxa"/>
            <w:tcBorders>
              <w:top w:val="nil"/>
              <w:left w:val="single" w:sz="4" w:space="0" w:color="auto"/>
              <w:bottom w:val="single" w:sz="4" w:space="0" w:color="auto"/>
              <w:right w:val="nil"/>
            </w:tcBorders>
            <w:noWrap/>
            <w:vAlign w:val="center"/>
          </w:tcPr>
          <w:p w:rsidR="004629A7" w:rsidRDefault="004629A7">
            <w:pPr>
              <w:rPr>
                <w:rFonts w:cs="Arial"/>
                <w:i/>
                <w:szCs w:val="20"/>
              </w:rPr>
            </w:pPr>
          </w:p>
        </w:tc>
        <w:tc>
          <w:tcPr>
            <w:tcW w:w="2610" w:type="dxa"/>
            <w:tcBorders>
              <w:top w:val="nil"/>
              <w:left w:val="nil"/>
              <w:bottom w:val="single" w:sz="4" w:space="0" w:color="auto"/>
              <w:right w:val="nil"/>
            </w:tcBorders>
            <w:noWrap/>
            <w:vAlign w:val="center"/>
          </w:tcPr>
          <w:p w:rsidR="004629A7" w:rsidRDefault="004629A7">
            <w:pPr>
              <w:rPr>
                <w:rFonts w:cs="Arial"/>
                <w:i/>
                <w:szCs w:val="20"/>
              </w:rPr>
            </w:pPr>
          </w:p>
        </w:tc>
        <w:tc>
          <w:tcPr>
            <w:tcW w:w="5580" w:type="dxa"/>
            <w:tcBorders>
              <w:top w:val="nil"/>
              <w:left w:val="nil"/>
              <w:bottom w:val="single" w:sz="4" w:space="0" w:color="auto"/>
              <w:right w:val="single" w:sz="4" w:space="0" w:color="auto"/>
            </w:tcBorders>
            <w:vAlign w:val="center"/>
          </w:tcPr>
          <w:p w:rsidR="004629A7" w:rsidRDefault="004629A7">
            <w:pPr>
              <w:rPr>
                <w:rFonts w:cs="Arial"/>
                <w:i/>
                <w:szCs w:val="20"/>
              </w:rPr>
            </w:pPr>
          </w:p>
        </w:tc>
      </w:tr>
    </w:tbl>
    <w:p w:rsidR="00424A98" w:rsidRDefault="00424A98" w:rsidP="00D00565">
      <w:pPr>
        <w:rPr>
          <w:rFonts w:cs="Arial"/>
          <w:szCs w:val="20"/>
        </w:rPr>
      </w:pPr>
    </w:p>
    <w:p w:rsidR="00D00565" w:rsidRDefault="00D00565" w:rsidP="00D00565">
      <w:r>
        <w:rPr>
          <w:rFonts w:cs="Arial"/>
          <w:szCs w:val="20"/>
        </w:rPr>
        <w:t>All the measures within this workpaper are ROB.</w:t>
      </w:r>
      <w:r>
        <w:t xml:space="preserve"> </w:t>
      </w:r>
    </w:p>
    <w:p w:rsidR="005B5BB4" w:rsidRPr="00437C35" w:rsidRDefault="005B5BB4" w:rsidP="009C5CA7">
      <w:pPr>
        <w:rPr>
          <w:rFonts w:cs="Arial"/>
          <w:i/>
          <w:szCs w:val="20"/>
          <w:highlight w:val="cyan"/>
        </w:rPr>
      </w:pPr>
      <w:r w:rsidRPr="00437C35">
        <w:rPr>
          <w:rFonts w:cs="Arial"/>
          <w:szCs w:val="20"/>
        </w:rPr>
        <w:t xml:space="preserve"> </w:t>
      </w:r>
    </w:p>
    <w:p w:rsidR="00806070" w:rsidRPr="00D705EF" w:rsidRDefault="00806070" w:rsidP="00424A98">
      <w:pPr>
        <w:pStyle w:val="Heading2"/>
        <w:spacing w:before="0"/>
      </w:pPr>
      <w:bookmarkStart w:id="26" w:name="_Toc437853347"/>
      <w:r w:rsidRPr="00D705EF">
        <w:t>1.4 Product Base Case and Measure Case Data</w:t>
      </w:r>
      <w:bookmarkEnd w:id="26"/>
    </w:p>
    <w:p w:rsidR="00E71EF1" w:rsidRPr="009C3DA2" w:rsidRDefault="001248A3" w:rsidP="001248A3">
      <w:pPr>
        <w:pStyle w:val="Heading2"/>
      </w:pPr>
      <w:bookmarkStart w:id="27" w:name="_Toc437853348"/>
      <w:r w:rsidRPr="00AE5408">
        <w:t>1.</w:t>
      </w:r>
      <w:r w:rsidR="00806070" w:rsidRPr="00AE5408">
        <w:t>4.1</w:t>
      </w:r>
      <w:r w:rsidR="00FA595F" w:rsidRPr="0001315F">
        <w:t xml:space="preserve"> </w:t>
      </w:r>
      <w:r w:rsidR="00C069A2" w:rsidRPr="0001315F">
        <w:t xml:space="preserve">DEER </w:t>
      </w:r>
      <w:r w:rsidR="008C6AD1" w:rsidRPr="009C3DA2">
        <w:t>Base Case and Measure Case Information</w:t>
      </w:r>
      <w:bookmarkEnd w:id="27"/>
      <w:r w:rsidR="008C6AD1" w:rsidRPr="009C3DA2">
        <w:t xml:space="preserve"> </w:t>
      </w:r>
    </w:p>
    <w:p w:rsidR="00B87D1D" w:rsidRPr="00437C35" w:rsidRDefault="00B87D1D" w:rsidP="00B87D1D">
      <w:pPr>
        <w:rPr>
          <w:rFonts w:cs="Arial"/>
          <w:szCs w:val="20"/>
        </w:rPr>
      </w:pPr>
      <w:r w:rsidRPr="00437C35">
        <w:rPr>
          <w:rFonts w:cs="Arial"/>
          <w:szCs w:val="20"/>
        </w:rPr>
        <w:t xml:space="preserve">The Database for Energy Efficiency Resources (DEER) provides California energy savings for many technologies.  These measures are not found in DEER and therefore, DEER difference analysis is not applicable.  </w:t>
      </w:r>
    </w:p>
    <w:p w:rsidR="00AF5B52" w:rsidRPr="00D705EF" w:rsidRDefault="00AF5B52" w:rsidP="00AF5B52">
      <w:pPr>
        <w:rPr>
          <w:rFonts w:cs="Arial"/>
          <w:b/>
          <w:i/>
          <w:szCs w:val="20"/>
          <w:highlight w:val="cyan"/>
        </w:rPr>
      </w:pPr>
    </w:p>
    <w:p w:rsidR="00231D53" w:rsidRPr="00437C35" w:rsidRDefault="00A51808" w:rsidP="009C5CA7">
      <w:pPr>
        <w:rPr>
          <w:rFonts w:cs="Arial"/>
          <w:b/>
        </w:rPr>
      </w:pPr>
      <w:r w:rsidRPr="00DD439B">
        <w:rPr>
          <w:rFonts w:cs="Arial"/>
          <w:b/>
          <w:u w:val="single"/>
        </w:rPr>
        <w:t>Therms Savings Assumption</w:t>
      </w:r>
      <w:r w:rsidR="00175673" w:rsidRPr="00437C35">
        <w:rPr>
          <w:rFonts w:cs="Arial"/>
          <w:b/>
        </w:rPr>
        <w:t xml:space="preserve"> (ΔTh)</w:t>
      </w:r>
      <w:r w:rsidR="00476B67" w:rsidRPr="00437C35">
        <w:rPr>
          <w:rFonts w:cs="Arial"/>
          <w:b/>
        </w:rPr>
        <w:t xml:space="preserve"> </w:t>
      </w:r>
    </w:p>
    <w:p w:rsidR="00BA7D18" w:rsidRPr="00D705EF" w:rsidRDefault="00BA7D18" w:rsidP="00175673">
      <w:pPr>
        <w:rPr>
          <w:rFonts w:cs="Arial"/>
          <w:szCs w:val="20"/>
        </w:rPr>
      </w:pPr>
    </w:p>
    <w:p w:rsidR="00175673" w:rsidRPr="00207E06" w:rsidRDefault="00175673" w:rsidP="00231D53">
      <w:pPr>
        <w:rPr>
          <w:rFonts w:cs="Arial"/>
          <w:b/>
          <w:szCs w:val="20"/>
        </w:rPr>
      </w:pPr>
      <w:r w:rsidRPr="00AE5408">
        <w:rPr>
          <w:rFonts w:cs="Arial"/>
          <w:szCs w:val="20"/>
        </w:rPr>
        <w:t xml:space="preserve">Gas Savings </w:t>
      </w:r>
      <w:r w:rsidRPr="00AE5408">
        <w:rPr>
          <w:rFonts w:cs="Arial"/>
          <w:b/>
          <w:szCs w:val="20"/>
        </w:rPr>
        <w:t>(ΔTh):</w:t>
      </w:r>
      <w:r w:rsidR="00476B67" w:rsidRPr="0001315F">
        <w:rPr>
          <w:rFonts w:cs="Arial"/>
          <w:b/>
          <w:szCs w:val="20"/>
        </w:rPr>
        <w:t xml:space="preserve"> </w:t>
      </w:r>
      <w:r w:rsidR="00802C3E">
        <w:rPr>
          <w:rFonts w:cs="Arial"/>
          <w:b/>
          <w:szCs w:val="20"/>
        </w:rPr>
        <w:t xml:space="preserve">The </w:t>
      </w:r>
      <w:r w:rsidRPr="0001315F">
        <w:rPr>
          <w:rFonts w:cs="Arial"/>
          <w:b/>
          <w:szCs w:val="20"/>
        </w:rPr>
        <w:t>Interactive Effect</w:t>
      </w:r>
      <w:r w:rsidR="009E1DB3" w:rsidRPr="009C3DA2">
        <w:rPr>
          <w:rFonts w:cs="Arial"/>
          <w:b/>
          <w:szCs w:val="20"/>
        </w:rPr>
        <w:t>s</w:t>
      </w:r>
      <w:r w:rsidRPr="009C3DA2">
        <w:rPr>
          <w:rFonts w:cs="Arial"/>
          <w:b/>
          <w:szCs w:val="20"/>
        </w:rPr>
        <w:t xml:space="preserve"> </w:t>
      </w:r>
      <w:r w:rsidR="00802C3E">
        <w:rPr>
          <w:rFonts w:cs="Arial"/>
          <w:b/>
          <w:szCs w:val="20"/>
        </w:rPr>
        <w:t>are from</w:t>
      </w:r>
      <w:r w:rsidR="004203DD" w:rsidRPr="009C3DA2">
        <w:rPr>
          <w:rFonts w:cs="Arial"/>
          <w:b/>
          <w:szCs w:val="20"/>
        </w:rPr>
        <w:t xml:space="preserve"> </w:t>
      </w:r>
      <w:r w:rsidRPr="009C3DA2">
        <w:rPr>
          <w:rFonts w:cs="Arial"/>
          <w:b/>
          <w:szCs w:val="20"/>
        </w:rPr>
        <w:t xml:space="preserve">DEER </w:t>
      </w:r>
      <w:r w:rsidR="00814947">
        <w:rPr>
          <w:rFonts w:cs="Arial"/>
          <w:b/>
          <w:szCs w:val="20"/>
        </w:rPr>
        <w:t>2016</w:t>
      </w:r>
    </w:p>
    <w:p w:rsidR="007931BC" w:rsidRPr="00437C35" w:rsidRDefault="007931BC" w:rsidP="00231D53">
      <w:pPr>
        <w:keepNext/>
        <w:keepLine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8"/>
        <w:gridCol w:w="1080"/>
        <w:gridCol w:w="990"/>
        <w:gridCol w:w="1170"/>
        <w:gridCol w:w="990"/>
        <w:gridCol w:w="1350"/>
        <w:gridCol w:w="1260"/>
        <w:gridCol w:w="1458"/>
      </w:tblGrid>
      <w:tr w:rsidR="0008537D" w:rsidRPr="00437C35" w:rsidTr="005D4792">
        <w:tc>
          <w:tcPr>
            <w:tcW w:w="1278" w:type="dxa"/>
            <w:shd w:val="clear" w:color="auto" w:fill="auto"/>
          </w:tcPr>
          <w:p w:rsidR="0008537D" w:rsidRPr="00AE5408" w:rsidRDefault="0008537D" w:rsidP="00231D53">
            <w:pPr>
              <w:keepNext/>
              <w:keepLines/>
              <w:rPr>
                <w:rFonts w:cs="Arial"/>
                <w:b/>
                <w:szCs w:val="20"/>
              </w:rPr>
            </w:pPr>
            <w:r w:rsidRPr="00D705EF">
              <w:rPr>
                <w:rFonts w:cs="Arial"/>
                <w:b/>
                <w:szCs w:val="20"/>
              </w:rPr>
              <w:t>Building type</w:t>
            </w:r>
            <w:r w:rsidRPr="00AE5408">
              <w:rPr>
                <w:rFonts w:cs="Arial"/>
                <w:b/>
                <w:szCs w:val="20"/>
              </w:rPr>
              <w:t xml:space="preserve"> </w:t>
            </w:r>
          </w:p>
        </w:tc>
        <w:tc>
          <w:tcPr>
            <w:tcW w:w="1080" w:type="dxa"/>
            <w:shd w:val="clear" w:color="auto" w:fill="auto"/>
          </w:tcPr>
          <w:p w:rsidR="0008537D" w:rsidRPr="0001315F" w:rsidRDefault="0008537D" w:rsidP="00231D53">
            <w:pPr>
              <w:keepNext/>
              <w:keepLines/>
              <w:rPr>
                <w:rFonts w:cs="Arial"/>
                <w:b/>
                <w:szCs w:val="20"/>
              </w:rPr>
            </w:pPr>
            <w:r w:rsidRPr="0001315F">
              <w:rPr>
                <w:rFonts w:cs="Arial"/>
                <w:b/>
                <w:szCs w:val="20"/>
              </w:rPr>
              <w:t xml:space="preserve">Bldg Vintage </w:t>
            </w:r>
          </w:p>
        </w:tc>
        <w:tc>
          <w:tcPr>
            <w:tcW w:w="990" w:type="dxa"/>
            <w:shd w:val="clear" w:color="auto" w:fill="auto"/>
          </w:tcPr>
          <w:p w:rsidR="0008537D" w:rsidRPr="009C3DA2" w:rsidRDefault="0008537D" w:rsidP="00231D53">
            <w:pPr>
              <w:keepNext/>
              <w:keepLines/>
              <w:rPr>
                <w:rFonts w:cs="Arial"/>
                <w:b/>
                <w:szCs w:val="20"/>
              </w:rPr>
            </w:pPr>
            <w:r w:rsidRPr="009C3DA2">
              <w:rPr>
                <w:rFonts w:cs="Arial"/>
                <w:b/>
                <w:szCs w:val="20"/>
              </w:rPr>
              <w:t xml:space="preserve">Climate Zone </w:t>
            </w:r>
          </w:p>
        </w:tc>
        <w:tc>
          <w:tcPr>
            <w:tcW w:w="1170" w:type="dxa"/>
            <w:shd w:val="clear" w:color="auto" w:fill="auto"/>
          </w:tcPr>
          <w:p w:rsidR="0008537D" w:rsidRPr="00E54BC8" w:rsidRDefault="0008537D" w:rsidP="00231D53">
            <w:pPr>
              <w:keepNext/>
              <w:keepLines/>
              <w:rPr>
                <w:rFonts w:cs="Arial"/>
                <w:b/>
                <w:szCs w:val="20"/>
              </w:rPr>
            </w:pPr>
            <w:r w:rsidRPr="00E54BC8">
              <w:rPr>
                <w:rFonts w:cs="Arial"/>
                <w:b/>
                <w:szCs w:val="20"/>
              </w:rPr>
              <w:t>Interactive Only?</w:t>
            </w:r>
          </w:p>
          <w:p w:rsidR="0008537D" w:rsidRPr="00B74ABF" w:rsidRDefault="0008537D" w:rsidP="00231D53">
            <w:pPr>
              <w:keepNext/>
              <w:keepLines/>
              <w:rPr>
                <w:rFonts w:cs="Arial"/>
                <w:b/>
                <w:szCs w:val="20"/>
              </w:rPr>
            </w:pPr>
          </w:p>
        </w:tc>
        <w:tc>
          <w:tcPr>
            <w:tcW w:w="990" w:type="dxa"/>
            <w:shd w:val="clear" w:color="auto" w:fill="auto"/>
          </w:tcPr>
          <w:p w:rsidR="0008537D" w:rsidRPr="00B74ABF" w:rsidRDefault="0008537D" w:rsidP="00231D53">
            <w:pPr>
              <w:keepNext/>
              <w:keepLines/>
              <w:rPr>
                <w:rFonts w:cs="Arial"/>
                <w:b/>
                <w:szCs w:val="20"/>
              </w:rPr>
            </w:pPr>
            <w:r w:rsidRPr="00B74ABF">
              <w:rPr>
                <w:rFonts w:cs="Arial"/>
                <w:b/>
                <w:szCs w:val="20"/>
              </w:rPr>
              <w:t>Gas Savings Therms</w:t>
            </w:r>
          </w:p>
        </w:tc>
        <w:tc>
          <w:tcPr>
            <w:tcW w:w="1350" w:type="dxa"/>
            <w:shd w:val="clear" w:color="auto" w:fill="auto"/>
          </w:tcPr>
          <w:p w:rsidR="0008537D" w:rsidRPr="00561189" w:rsidRDefault="00DD0910" w:rsidP="00231D53">
            <w:pPr>
              <w:keepNext/>
              <w:keepLines/>
              <w:rPr>
                <w:rFonts w:cs="Arial"/>
                <w:b/>
                <w:szCs w:val="20"/>
              </w:rPr>
            </w:pPr>
            <w:r w:rsidRPr="00561189">
              <w:rPr>
                <w:rFonts w:cs="Arial"/>
                <w:b/>
                <w:szCs w:val="20"/>
              </w:rPr>
              <w:t xml:space="preserve">DEER </w:t>
            </w:r>
            <w:r w:rsidR="0008537D" w:rsidRPr="00561189">
              <w:rPr>
                <w:rFonts w:cs="Arial"/>
                <w:b/>
                <w:szCs w:val="20"/>
              </w:rPr>
              <w:t>units</w:t>
            </w:r>
          </w:p>
        </w:tc>
        <w:tc>
          <w:tcPr>
            <w:tcW w:w="1260" w:type="dxa"/>
            <w:shd w:val="clear" w:color="auto" w:fill="auto"/>
          </w:tcPr>
          <w:p w:rsidR="0008537D" w:rsidRPr="00561189" w:rsidRDefault="0008537D" w:rsidP="00231D53">
            <w:pPr>
              <w:keepNext/>
              <w:keepLines/>
              <w:rPr>
                <w:rFonts w:cs="Arial"/>
                <w:b/>
                <w:szCs w:val="20"/>
              </w:rPr>
            </w:pPr>
            <w:r w:rsidRPr="00561189">
              <w:rPr>
                <w:rFonts w:cs="Arial"/>
                <w:b/>
                <w:szCs w:val="20"/>
              </w:rPr>
              <w:t>DEER Version</w:t>
            </w:r>
          </w:p>
        </w:tc>
        <w:tc>
          <w:tcPr>
            <w:tcW w:w="1458" w:type="dxa"/>
            <w:shd w:val="clear" w:color="auto" w:fill="auto"/>
          </w:tcPr>
          <w:p w:rsidR="0008537D" w:rsidRPr="00437C35" w:rsidRDefault="0008537D" w:rsidP="00231D53">
            <w:pPr>
              <w:keepNext/>
              <w:keepLines/>
              <w:rPr>
                <w:rFonts w:cs="Arial"/>
                <w:b/>
                <w:szCs w:val="20"/>
              </w:rPr>
            </w:pPr>
            <w:r w:rsidRPr="00437C35">
              <w:rPr>
                <w:rFonts w:cs="Arial"/>
                <w:b/>
                <w:szCs w:val="20"/>
              </w:rPr>
              <w:t>Impact IDs</w:t>
            </w:r>
          </w:p>
        </w:tc>
      </w:tr>
      <w:tr w:rsidR="004B506E" w:rsidRPr="00437C35" w:rsidTr="005D4792">
        <w:tc>
          <w:tcPr>
            <w:tcW w:w="1278" w:type="dxa"/>
            <w:shd w:val="clear" w:color="auto" w:fill="auto"/>
          </w:tcPr>
          <w:p w:rsidR="004B506E" w:rsidRPr="00437C35" w:rsidRDefault="00652613" w:rsidP="00CD0D11">
            <w:pPr>
              <w:keepNext/>
              <w:keepLines/>
              <w:rPr>
                <w:rFonts w:cs="Arial"/>
                <w:szCs w:val="20"/>
              </w:rPr>
            </w:pPr>
            <w:r w:rsidRPr="00437C35">
              <w:rPr>
                <w:rFonts w:cs="Arial"/>
                <w:szCs w:val="20"/>
              </w:rPr>
              <w:t xml:space="preserve">Varies – all </w:t>
            </w:r>
            <w:r w:rsidR="00CD0D11" w:rsidRPr="00437C35">
              <w:rPr>
                <w:rFonts w:cs="Arial"/>
                <w:szCs w:val="20"/>
              </w:rPr>
              <w:t>Non-Res</w:t>
            </w:r>
            <w:r w:rsidRPr="00437C35">
              <w:rPr>
                <w:rFonts w:cs="Arial"/>
                <w:szCs w:val="20"/>
              </w:rPr>
              <w:t xml:space="preserve"> types</w:t>
            </w:r>
          </w:p>
        </w:tc>
        <w:tc>
          <w:tcPr>
            <w:tcW w:w="1080" w:type="dxa"/>
            <w:shd w:val="clear" w:color="auto" w:fill="auto"/>
          </w:tcPr>
          <w:p w:rsidR="004B506E" w:rsidRPr="00437C35" w:rsidRDefault="004B506E" w:rsidP="00231D53">
            <w:pPr>
              <w:keepNext/>
              <w:keepLines/>
              <w:rPr>
                <w:rFonts w:cs="Arial"/>
                <w:szCs w:val="20"/>
              </w:rPr>
            </w:pPr>
            <w:r w:rsidRPr="00437C35">
              <w:rPr>
                <w:rFonts w:cs="Arial"/>
                <w:szCs w:val="20"/>
              </w:rPr>
              <w:t>AV</w:t>
            </w:r>
          </w:p>
        </w:tc>
        <w:tc>
          <w:tcPr>
            <w:tcW w:w="990" w:type="dxa"/>
            <w:shd w:val="clear" w:color="auto" w:fill="auto"/>
          </w:tcPr>
          <w:p w:rsidR="004B506E" w:rsidRPr="00437C35" w:rsidRDefault="004B506E" w:rsidP="00231D53">
            <w:pPr>
              <w:keepNext/>
              <w:keepLines/>
              <w:rPr>
                <w:rFonts w:cs="Arial"/>
                <w:szCs w:val="20"/>
              </w:rPr>
            </w:pPr>
            <w:r w:rsidRPr="00437C35">
              <w:rPr>
                <w:rFonts w:cs="Arial"/>
                <w:szCs w:val="20"/>
              </w:rPr>
              <w:t>All</w:t>
            </w:r>
          </w:p>
        </w:tc>
        <w:tc>
          <w:tcPr>
            <w:tcW w:w="1170" w:type="dxa"/>
            <w:shd w:val="clear" w:color="auto" w:fill="auto"/>
          </w:tcPr>
          <w:p w:rsidR="004B506E" w:rsidRPr="00437C35" w:rsidRDefault="004B506E" w:rsidP="00231D53">
            <w:pPr>
              <w:keepNext/>
              <w:keepLines/>
              <w:rPr>
                <w:rFonts w:cs="Arial"/>
                <w:szCs w:val="20"/>
              </w:rPr>
            </w:pPr>
            <w:r w:rsidRPr="00437C35">
              <w:rPr>
                <w:rFonts w:cs="Arial"/>
                <w:szCs w:val="20"/>
              </w:rPr>
              <w:t>Yes</w:t>
            </w:r>
          </w:p>
        </w:tc>
        <w:tc>
          <w:tcPr>
            <w:tcW w:w="990" w:type="dxa"/>
            <w:shd w:val="clear" w:color="auto" w:fill="auto"/>
          </w:tcPr>
          <w:p w:rsidR="004B506E" w:rsidRPr="00437C35" w:rsidRDefault="004B506E" w:rsidP="00231D53">
            <w:pPr>
              <w:keepNext/>
              <w:keepLines/>
              <w:rPr>
                <w:rFonts w:cs="Arial"/>
                <w:szCs w:val="20"/>
              </w:rPr>
            </w:pPr>
            <w:r w:rsidRPr="00437C35">
              <w:rPr>
                <w:rFonts w:cs="Arial"/>
                <w:szCs w:val="20"/>
              </w:rPr>
              <w:t>Varies</w:t>
            </w:r>
          </w:p>
        </w:tc>
        <w:tc>
          <w:tcPr>
            <w:tcW w:w="1350" w:type="dxa"/>
            <w:shd w:val="clear" w:color="auto" w:fill="auto"/>
          </w:tcPr>
          <w:p w:rsidR="004B506E" w:rsidRPr="00437C35" w:rsidRDefault="004B506E" w:rsidP="00231D53">
            <w:pPr>
              <w:keepNext/>
              <w:keepLines/>
              <w:rPr>
                <w:rFonts w:cs="Arial"/>
                <w:szCs w:val="20"/>
              </w:rPr>
            </w:pPr>
            <w:r w:rsidRPr="00437C35">
              <w:rPr>
                <w:rFonts w:cs="Arial"/>
                <w:szCs w:val="20"/>
              </w:rPr>
              <w:t>Therms/kWh</w:t>
            </w:r>
          </w:p>
        </w:tc>
        <w:tc>
          <w:tcPr>
            <w:tcW w:w="1260" w:type="dxa"/>
            <w:shd w:val="clear" w:color="auto" w:fill="auto"/>
          </w:tcPr>
          <w:p w:rsidR="004B506E" w:rsidRPr="00437C35" w:rsidRDefault="003C7989" w:rsidP="00231D53">
            <w:pPr>
              <w:keepNext/>
              <w:keepLines/>
              <w:rPr>
                <w:rFonts w:cs="Arial"/>
                <w:szCs w:val="20"/>
              </w:rPr>
            </w:pPr>
            <w:r>
              <w:rPr>
                <w:rFonts w:cs="Arial"/>
                <w:szCs w:val="20"/>
              </w:rPr>
              <w:t>2011 v4.01</w:t>
            </w:r>
          </w:p>
          <w:p w:rsidR="00CD0D11" w:rsidRPr="00437C35" w:rsidRDefault="00CD0D11" w:rsidP="00231D53">
            <w:pPr>
              <w:keepNext/>
              <w:keepLines/>
              <w:rPr>
                <w:rFonts w:cs="Arial"/>
                <w:szCs w:val="20"/>
              </w:rPr>
            </w:pPr>
          </w:p>
        </w:tc>
        <w:tc>
          <w:tcPr>
            <w:tcW w:w="1458" w:type="dxa"/>
            <w:shd w:val="clear" w:color="auto" w:fill="auto"/>
          </w:tcPr>
          <w:p w:rsidR="004B506E" w:rsidRPr="00437C35" w:rsidRDefault="004B506E" w:rsidP="00231D53">
            <w:pPr>
              <w:keepNext/>
              <w:keepLines/>
              <w:rPr>
                <w:rFonts w:cs="Arial"/>
                <w:szCs w:val="20"/>
              </w:rPr>
            </w:pPr>
            <w:r w:rsidRPr="00D705EF">
              <w:rPr>
                <w:rFonts w:cs="Arial"/>
                <w:szCs w:val="20"/>
              </w:rPr>
              <w:t>N/A</w:t>
            </w:r>
          </w:p>
        </w:tc>
      </w:tr>
    </w:tbl>
    <w:p w:rsidR="008E5E12" w:rsidRPr="00437C35" w:rsidRDefault="008E5E12" w:rsidP="008E5E12">
      <w:pPr>
        <w:rPr>
          <w:rFonts w:cs="Arial"/>
        </w:rPr>
      </w:pPr>
    </w:p>
    <w:p w:rsidR="0035242A" w:rsidRPr="0035242A" w:rsidRDefault="0035242A" w:rsidP="0035242A">
      <w:pPr>
        <w:rPr>
          <w:rFonts w:cs="Arial"/>
          <w:b/>
          <w:szCs w:val="20"/>
        </w:rPr>
      </w:pPr>
      <w:r w:rsidRPr="00DD439B">
        <w:rPr>
          <w:rFonts w:cs="Arial"/>
          <w:b/>
          <w:szCs w:val="20"/>
          <w:u w:val="single"/>
        </w:rPr>
        <w:t>Hours of Operation</w:t>
      </w:r>
      <w:r w:rsidRPr="0035242A">
        <w:rPr>
          <w:rFonts w:cs="Arial"/>
          <w:b/>
          <w:szCs w:val="20"/>
        </w:rPr>
        <w:fldChar w:fldCharType="begin"/>
      </w:r>
      <w:r w:rsidRPr="0035242A">
        <w:rPr>
          <w:rFonts w:cs="Arial"/>
          <w:b/>
          <w:szCs w:val="20"/>
        </w:rPr>
        <w:instrText xml:space="preserve"> XE "Hours of Operation" </w:instrText>
      </w:r>
      <w:r w:rsidRPr="0035242A">
        <w:rPr>
          <w:rFonts w:cs="Arial"/>
          <w:b/>
          <w:szCs w:val="20"/>
        </w:rPr>
        <w:fldChar w:fldCharType="end"/>
      </w:r>
    </w:p>
    <w:p w:rsidR="0035242A" w:rsidRPr="00437C35" w:rsidRDefault="0035242A" w:rsidP="0035242A">
      <w:pPr>
        <w:rPr>
          <w:rFonts w:cs="Arial"/>
          <w:szCs w:val="20"/>
        </w:rPr>
      </w:pPr>
      <w:r w:rsidRPr="00437C35">
        <w:rPr>
          <w:rFonts w:cs="Arial"/>
          <w:szCs w:val="20"/>
        </w:rPr>
        <w:t xml:space="preserve">Annual hours of operation are based on the </w:t>
      </w:r>
      <w:r>
        <w:rPr>
          <w:rFonts w:cs="Arial"/>
          <w:szCs w:val="20"/>
        </w:rPr>
        <w:t xml:space="preserve">“GRO” building type hours of </w:t>
      </w:r>
      <w:r w:rsidR="00450314">
        <w:rPr>
          <w:rFonts w:cs="Arial"/>
          <w:szCs w:val="20"/>
        </w:rPr>
        <w:t>4</w:t>
      </w:r>
      <w:r w:rsidR="00DD439B">
        <w:rPr>
          <w:rFonts w:cs="Arial"/>
          <w:szCs w:val="20"/>
        </w:rPr>
        <w:t>,</w:t>
      </w:r>
      <w:r w:rsidR="00450314">
        <w:rPr>
          <w:rFonts w:cs="Arial"/>
          <w:szCs w:val="20"/>
        </w:rPr>
        <w:t>710</w:t>
      </w:r>
      <w:r w:rsidRPr="00437C35">
        <w:rPr>
          <w:rFonts w:cs="Arial"/>
          <w:szCs w:val="20"/>
        </w:rPr>
        <w:t xml:space="preserve"> </w:t>
      </w:r>
      <w:r>
        <w:rPr>
          <w:rFonts w:cs="Arial"/>
          <w:szCs w:val="20"/>
        </w:rPr>
        <w:t xml:space="preserve">from </w:t>
      </w:r>
      <w:r w:rsidRPr="00437C35">
        <w:rPr>
          <w:rFonts w:cs="Arial"/>
          <w:szCs w:val="20"/>
        </w:rPr>
        <w:t>DEER</w:t>
      </w:r>
      <w:bookmarkStart w:id="28" w:name="Table4"/>
      <w:bookmarkEnd w:id="28"/>
      <w:r w:rsidRPr="00437C35">
        <w:rPr>
          <w:rFonts w:cs="Arial"/>
          <w:szCs w:val="20"/>
        </w:rPr>
        <w:t xml:space="preserve"> </w:t>
      </w:r>
      <w:r>
        <w:rPr>
          <w:rFonts w:cs="Arial"/>
          <w:szCs w:val="20"/>
        </w:rPr>
        <w:t>201</w:t>
      </w:r>
      <w:r w:rsidR="00450314">
        <w:rPr>
          <w:rFonts w:cs="Arial"/>
          <w:szCs w:val="20"/>
        </w:rPr>
        <w:t>6</w:t>
      </w:r>
      <w:r w:rsidRPr="00437C35">
        <w:rPr>
          <w:rFonts w:cs="Arial"/>
          <w:szCs w:val="20"/>
        </w:rPr>
        <w:t xml:space="preserve">.  </w:t>
      </w:r>
    </w:p>
    <w:p w:rsidR="001B0406" w:rsidRDefault="001B0406" w:rsidP="007A5D2F">
      <w:pPr>
        <w:rPr>
          <w:rFonts w:cs="Arial"/>
          <w:b/>
        </w:rPr>
      </w:pPr>
    </w:p>
    <w:p w:rsidR="00B82C52" w:rsidRPr="00DD439B" w:rsidRDefault="009C5CA7" w:rsidP="006E16DE">
      <w:pPr>
        <w:rPr>
          <w:rFonts w:cs="Arial"/>
          <w:b/>
          <w:szCs w:val="20"/>
          <w:u w:val="single"/>
        </w:rPr>
      </w:pPr>
      <w:r w:rsidRPr="00DD439B">
        <w:rPr>
          <w:rFonts w:cs="Arial"/>
          <w:b/>
          <w:u w:val="single"/>
        </w:rPr>
        <w:t>Net-to-Gross</w:t>
      </w:r>
    </w:p>
    <w:p w:rsidR="00B82C52" w:rsidRDefault="006E16DE" w:rsidP="006E16DE">
      <w:pPr>
        <w:rPr>
          <w:rFonts w:cs="Arial"/>
          <w:szCs w:val="20"/>
        </w:rPr>
      </w:pPr>
      <w:r>
        <w:rPr>
          <w:rFonts w:cs="Arial"/>
          <w:szCs w:val="20"/>
        </w:rPr>
        <w:t xml:space="preserve">The table </w:t>
      </w:r>
      <w:r w:rsidR="00B82C52" w:rsidRPr="00437C35">
        <w:rPr>
          <w:rFonts w:cs="Arial"/>
          <w:szCs w:val="20"/>
        </w:rPr>
        <w:t xml:space="preserve">below summarizes all applicable Net-to-Gross ratios for programs that may be used by </w:t>
      </w:r>
      <w:r>
        <w:rPr>
          <w:rFonts w:cs="Arial"/>
          <w:szCs w:val="20"/>
        </w:rPr>
        <w:t>these</w:t>
      </w:r>
      <w:r w:rsidR="00B82C52" w:rsidRPr="00437C35">
        <w:rPr>
          <w:rFonts w:cs="Arial"/>
          <w:szCs w:val="20"/>
        </w:rPr>
        <w:t xml:space="preserve"> measure</w:t>
      </w:r>
      <w:r>
        <w:rPr>
          <w:rFonts w:cs="Arial"/>
          <w:szCs w:val="20"/>
        </w:rPr>
        <w:t>s</w:t>
      </w:r>
      <w:r w:rsidR="00B82C52" w:rsidRPr="00437C35">
        <w:rPr>
          <w:rFonts w:cs="Arial"/>
          <w:szCs w:val="20"/>
        </w:rPr>
        <w:t xml:space="preserve">, based on </w:t>
      </w:r>
      <w:r>
        <w:rPr>
          <w:rFonts w:cs="Arial"/>
          <w:szCs w:val="20"/>
        </w:rPr>
        <w:t>the DEER READI tool</w:t>
      </w:r>
      <w:r w:rsidR="00B82C52" w:rsidRPr="00437C35">
        <w:rPr>
          <w:rFonts w:cs="Arial"/>
          <w:szCs w:val="20"/>
        </w:rPr>
        <w:t>.</w:t>
      </w:r>
    </w:p>
    <w:p w:rsidR="006E16DE" w:rsidRPr="00437C35" w:rsidRDefault="006E16DE" w:rsidP="006E16DE">
      <w:pPr>
        <w:rPr>
          <w:rFonts w:cs="Arial"/>
          <w:sz w:val="24"/>
        </w:rPr>
      </w:pPr>
    </w:p>
    <w:p w:rsidR="00B82C52" w:rsidRPr="006E16DE" w:rsidRDefault="00B82C52" w:rsidP="00B82C52">
      <w:pPr>
        <w:pStyle w:val="Caption"/>
        <w:keepNext/>
        <w:keepLines/>
        <w:jc w:val="center"/>
        <w:rPr>
          <w:rFonts w:cs="Arial"/>
          <w:szCs w:val="24"/>
        </w:rPr>
      </w:pPr>
      <w:bookmarkStart w:id="29" w:name="_Toc437853372"/>
      <w:r w:rsidRPr="006E16DE">
        <w:rPr>
          <w:rFonts w:cs="Arial"/>
          <w:szCs w:val="24"/>
        </w:rPr>
        <w:t xml:space="preserve">Table </w:t>
      </w:r>
      <w:r w:rsidRPr="006E16DE">
        <w:rPr>
          <w:rFonts w:cs="Arial"/>
          <w:szCs w:val="24"/>
        </w:rPr>
        <w:fldChar w:fldCharType="begin"/>
      </w:r>
      <w:r w:rsidRPr="006E16DE">
        <w:rPr>
          <w:rFonts w:cs="Arial"/>
          <w:szCs w:val="24"/>
        </w:rPr>
        <w:instrText xml:space="preserve"> SEQ Table \* ARABIC \s 1 </w:instrText>
      </w:r>
      <w:r w:rsidRPr="006E16DE">
        <w:rPr>
          <w:rFonts w:cs="Arial"/>
          <w:szCs w:val="24"/>
        </w:rPr>
        <w:fldChar w:fldCharType="separate"/>
      </w:r>
      <w:r w:rsidR="007833A0">
        <w:rPr>
          <w:rFonts w:cs="Arial"/>
          <w:noProof/>
          <w:szCs w:val="24"/>
        </w:rPr>
        <w:t>6</w:t>
      </w:r>
      <w:r w:rsidRPr="006E16DE">
        <w:rPr>
          <w:rFonts w:cs="Arial"/>
          <w:szCs w:val="24"/>
        </w:rPr>
        <w:fldChar w:fldCharType="end"/>
      </w:r>
      <w:r w:rsidRPr="006E16DE">
        <w:rPr>
          <w:rFonts w:cs="Arial"/>
          <w:szCs w:val="24"/>
        </w:rPr>
        <w:t xml:space="preserve"> Net-to-Gross Ratios</w:t>
      </w:r>
      <w:bookmarkEnd w:id="29"/>
    </w:p>
    <w:tbl>
      <w:tblPr>
        <w:tblStyle w:val="TableGrid1"/>
        <w:tblW w:w="5000" w:type="pct"/>
        <w:tblLayout w:type="fixed"/>
        <w:tblLook w:val="01E0" w:firstRow="1" w:lastRow="1" w:firstColumn="1" w:lastColumn="1" w:noHBand="0" w:noVBand="0"/>
      </w:tblPr>
      <w:tblGrid>
        <w:gridCol w:w="1367"/>
        <w:gridCol w:w="3781"/>
        <w:gridCol w:w="839"/>
        <w:gridCol w:w="1013"/>
        <w:gridCol w:w="1752"/>
        <w:gridCol w:w="824"/>
      </w:tblGrid>
      <w:tr w:rsidR="006E16DE" w:rsidRPr="006E16DE" w:rsidTr="00777F66">
        <w:tc>
          <w:tcPr>
            <w:tcW w:w="714" w:type="pct"/>
            <w:shd w:val="clear" w:color="auto" w:fill="D9D9D9" w:themeFill="background1" w:themeFillShade="D9"/>
          </w:tcPr>
          <w:p w:rsidR="006E16DE" w:rsidRPr="006E16DE" w:rsidRDefault="006E16DE" w:rsidP="00F4043B">
            <w:pPr>
              <w:rPr>
                <w:rFonts w:cstheme="minorHAnsi"/>
                <w:b/>
                <w:szCs w:val="20"/>
              </w:rPr>
            </w:pPr>
            <w:r w:rsidRPr="006E16DE">
              <w:rPr>
                <w:rFonts w:cstheme="minorHAnsi"/>
                <w:b/>
                <w:szCs w:val="20"/>
              </w:rPr>
              <w:t>NTGR ID</w:t>
            </w:r>
          </w:p>
        </w:tc>
        <w:tc>
          <w:tcPr>
            <w:tcW w:w="1974" w:type="pct"/>
            <w:shd w:val="clear" w:color="auto" w:fill="D9D9D9" w:themeFill="background1" w:themeFillShade="D9"/>
          </w:tcPr>
          <w:p w:rsidR="006E16DE" w:rsidRPr="006E16DE" w:rsidRDefault="006E16DE" w:rsidP="00F4043B">
            <w:pPr>
              <w:rPr>
                <w:rFonts w:cstheme="minorHAnsi"/>
                <w:b/>
                <w:szCs w:val="20"/>
              </w:rPr>
            </w:pPr>
            <w:r w:rsidRPr="006E16DE">
              <w:rPr>
                <w:rFonts w:cstheme="minorHAnsi"/>
                <w:b/>
                <w:szCs w:val="20"/>
              </w:rPr>
              <w:t>Description</w:t>
            </w:r>
          </w:p>
        </w:tc>
        <w:tc>
          <w:tcPr>
            <w:tcW w:w="438" w:type="pct"/>
            <w:shd w:val="clear" w:color="auto" w:fill="D9D9D9" w:themeFill="background1" w:themeFillShade="D9"/>
          </w:tcPr>
          <w:p w:rsidR="006E16DE" w:rsidRPr="006E16DE" w:rsidRDefault="006E16DE" w:rsidP="00F4043B">
            <w:pPr>
              <w:rPr>
                <w:rFonts w:cstheme="minorHAnsi"/>
                <w:b/>
                <w:szCs w:val="20"/>
              </w:rPr>
            </w:pPr>
            <w:r w:rsidRPr="006E16DE">
              <w:rPr>
                <w:rFonts w:cstheme="minorHAnsi"/>
                <w:b/>
                <w:szCs w:val="20"/>
              </w:rPr>
              <w:t>Sector</w:t>
            </w:r>
          </w:p>
        </w:tc>
        <w:tc>
          <w:tcPr>
            <w:tcW w:w="529" w:type="pct"/>
            <w:shd w:val="clear" w:color="auto" w:fill="D9D9D9" w:themeFill="background1" w:themeFillShade="D9"/>
          </w:tcPr>
          <w:p w:rsidR="006E16DE" w:rsidRPr="006E16DE" w:rsidRDefault="006E16DE" w:rsidP="00F4043B">
            <w:pPr>
              <w:rPr>
                <w:rFonts w:cstheme="minorHAnsi"/>
                <w:b/>
                <w:szCs w:val="20"/>
              </w:rPr>
            </w:pPr>
            <w:r w:rsidRPr="006E16DE">
              <w:rPr>
                <w:rFonts w:cstheme="minorHAnsi"/>
                <w:b/>
                <w:szCs w:val="20"/>
              </w:rPr>
              <w:t>BldgType</w:t>
            </w:r>
          </w:p>
        </w:tc>
        <w:tc>
          <w:tcPr>
            <w:tcW w:w="915" w:type="pct"/>
            <w:shd w:val="clear" w:color="auto" w:fill="D9D9D9" w:themeFill="background1" w:themeFillShade="D9"/>
          </w:tcPr>
          <w:p w:rsidR="006E16DE" w:rsidRPr="006E16DE" w:rsidRDefault="006E16DE" w:rsidP="00F4043B">
            <w:pPr>
              <w:rPr>
                <w:rFonts w:cstheme="minorHAnsi"/>
                <w:b/>
                <w:szCs w:val="20"/>
              </w:rPr>
            </w:pPr>
            <w:r w:rsidRPr="006E16DE">
              <w:rPr>
                <w:rFonts w:cstheme="minorHAnsi"/>
                <w:b/>
                <w:szCs w:val="20"/>
              </w:rPr>
              <w:t>Measure Delivery</w:t>
            </w:r>
          </w:p>
        </w:tc>
        <w:tc>
          <w:tcPr>
            <w:tcW w:w="430" w:type="pct"/>
            <w:shd w:val="clear" w:color="auto" w:fill="D9D9D9" w:themeFill="background1" w:themeFillShade="D9"/>
          </w:tcPr>
          <w:p w:rsidR="006E16DE" w:rsidRPr="006E16DE" w:rsidRDefault="006E16DE" w:rsidP="00F4043B">
            <w:pPr>
              <w:rPr>
                <w:rFonts w:cstheme="minorHAnsi"/>
                <w:b/>
                <w:szCs w:val="20"/>
              </w:rPr>
            </w:pPr>
            <w:r w:rsidRPr="006E16DE">
              <w:rPr>
                <w:rFonts w:cstheme="minorHAnsi"/>
                <w:b/>
                <w:szCs w:val="20"/>
              </w:rPr>
              <w:t>NTGR</w:t>
            </w:r>
          </w:p>
        </w:tc>
      </w:tr>
      <w:tr w:rsidR="006E16DE" w:rsidRPr="006E16DE" w:rsidTr="00777F66">
        <w:tc>
          <w:tcPr>
            <w:tcW w:w="714" w:type="pct"/>
          </w:tcPr>
          <w:p w:rsidR="006E16DE" w:rsidRPr="006E16DE" w:rsidRDefault="006E16DE" w:rsidP="00F4043B">
            <w:pPr>
              <w:rPr>
                <w:szCs w:val="20"/>
              </w:rPr>
            </w:pPr>
            <w:r w:rsidRPr="006E16DE">
              <w:rPr>
                <w:szCs w:val="20"/>
              </w:rPr>
              <w:t>Com-Default&gt;2yrs</w:t>
            </w:r>
          </w:p>
        </w:tc>
        <w:tc>
          <w:tcPr>
            <w:tcW w:w="1974" w:type="pct"/>
          </w:tcPr>
          <w:p w:rsidR="006E16DE" w:rsidRPr="006E16DE" w:rsidRDefault="006E16DE" w:rsidP="00F4043B">
            <w:pPr>
              <w:rPr>
                <w:szCs w:val="20"/>
              </w:rPr>
            </w:pPr>
            <w:r w:rsidRPr="006E16DE">
              <w:rPr>
                <w:szCs w:val="20"/>
              </w:rPr>
              <w:t>All other EEMs with no evaluated NTGR; existing EEM in programs with same delivery mechanism for more than 2 years</w:t>
            </w:r>
          </w:p>
        </w:tc>
        <w:tc>
          <w:tcPr>
            <w:tcW w:w="438" w:type="pct"/>
          </w:tcPr>
          <w:p w:rsidR="006E16DE" w:rsidRPr="006E16DE" w:rsidRDefault="006E16DE" w:rsidP="00F4043B">
            <w:pPr>
              <w:rPr>
                <w:szCs w:val="20"/>
              </w:rPr>
            </w:pPr>
            <w:r w:rsidRPr="006E16DE">
              <w:rPr>
                <w:szCs w:val="20"/>
              </w:rPr>
              <w:t>Com</w:t>
            </w:r>
          </w:p>
        </w:tc>
        <w:tc>
          <w:tcPr>
            <w:tcW w:w="529" w:type="pct"/>
          </w:tcPr>
          <w:p w:rsidR="006E16DE" w:rsidRPr="006E16DE" w:rsidRDefault="006E16DE" w:rsidP="00F4043B">
            <w:pPr>
              <w:rPr>
                <w:szCs w:val="20"/>
              </w:rPr>
            </w:pPr>
            <w:r w:rsidRPr="006E16DE">
              <w:rPr>
                <w:szCs w:val="20"/>
              </w:rPr>
              <w:t>Any</w:t>
            </w:r>
          </w:p>
        </w:tc>
        <w:tc>
          <w:tcPr>
            <w:tcW w:w="915" w:type="pct"/>
          </w:tcPr>
          <w:p w:rsidR="006E16DE" w:rsidRPr="006E16DE" w:rsidRDefault="006E16DE" w:rsidP="00F4043B">
            <w:pPr>
              <w:rPr>
                <w:szCs w:val="20"/>
              </w:rPr>
            </w:pPr>
            <w:r w:rsidRPr="006E16DE">
              <w:rPr>
                <w:szCs w:val="20"/>
              </w:rPr>
              <w:t>Any</w:t>
            </w:r>
          </w:p>
        </w:tc>
        <w:tc>
          <w:tcPr>
            <w:tcW w:w="430" w:type="pct"/>
          </w:tcPr>
          <w:p w:rsidR="006E16DE" w:rsidRPr="006E16DE" w:rsidRDefault="006E16DE" w:rsidP="00F4043B">
            <w:pPr>
              <w:rPr>
                <w:szCs w:val="20"/>
              </w:rPr>
            </w:pPr>
            <w:r w:rsidRPr="006E16DE">
              <w:rPr>
                <w:szCs w:val="20"/>
              </w:rPr>
              <w:t>0.6</w:t>
            </w:r>
          </w:p>
        </w:tc>
      </w:tr>
    </w:tbl>
    <w:p w:rsidR="00B82C52" w:rsidRPr="00437C35" w:rsidRDefault="00B82C52" w:rsidP="00B82C52">
      <w:pPr>
        <w:rPr>
          <w:rFonts w:cs="Arial"/>
        </w:rPr>
      </w:pPr>
    </w:p>
    <w:p w:rsidR="00360A19" w:rsidRPr="00DD439B" w:rsidRDefault="00360A19" w:rsidP="0035242A">
      <w:pPr>
        <w:rPr>
          <w:rFonts w:cs="Arial"/>
          <w:b/>
          <w:szCs w:val="20"/>
          <w:u w:val="single"/>
        </w:rPr>
      </w:pPr>
      <w:r w:rsidRPr="00DD439B">
        <w:rPr>
          <w:rFonts w:cs="Arial"/>
          <w:b/>
          <w:szCs w:val="20"/>
          <w:u w:val="single"/>
        </w:rPr>
        <w:t>Spillage Rate</w:t>
      </w:r>
    </w:p>
    <w:p w:rsidR="00360A19" w:rsidRPr="00360A19" w:rsidRDefault="00360A19" w:rsidP="0035242A">
      <w:pPr>
        <w:rPr>
          <w:rFonts w:cs="Arial"/>
          <w:szCs w:val="20"/>
        </w:rPr>
      </w:pPr>
      <w:r w:rsidRPr="00360A19">
        <w:rPr>
          <w:rFonts w:cs="Arial"/>
          <w:szCs w:val="20"/>
        </w:rPr>
        <w:t>Spillage rates are not tracked in work papers; they are tracked in an external document which will be supplied to the Commission Staff.</w:t>
      </w:r>
    </w:p>
    <w:p w:rsidR="00DD439B" w:rsidRDefault="00DD439B" w:rsidP="0035242A">
      <w:pPr>
        <w:rPr>
          <w:rFonts w:cs="Arial"/>
          <w:b/>
          <w:szCs w:val="20"/>
        </w:rPr>
      </w:pPr>
    </w:p>
    <w:p w:rsidR="00777F66" w:rsidRDefault="00777F66" w:rsidP="0035242A">
      <w:pPr>
        <w:rPr>
          <w:rFonts w:cs="Arial"/>
          <w:b/>
          <w:szCs w:val="20"/>
          <w:u w:val="single"/>
        </w:rPr>
      </w:pPr>
    </w:p>
    <w:p w:rsidR="00777F66" w:rsidRDefault="00777F66" w:rsidP="0035242A">
      <w:pPr>
        <w:rPr>
          <w:rFonts w:cs="Arial"/>
          <w:b/>
          <w:szCs w:val="20"/>
          <w:u w:val="single"/>
        </w:rPr>
      </w:pPr>
    </w:p>
    <w:p w:rsidR="00360A19" w:rsidRPr="00DD439B" w:rsidRDefault="00360A19" w:rsidP="0035242A">
      <w:pPr>
        <w:rPr>
          <w:rFonts w:cs="Arial"/>
          <w:b/>
          <w:szCs w:val="20"/>
          <w:u w:val="single"/>
        </w:rPr>
      </w:pPr>
      <w:r w:rsidRPr="00DD439B">
        <w:rPr>
          <w:rFonts w:cs="Arial"/>
          <w:b/>
          <w:szCs w:val="20"/>
          <w:u w:val="single"/>
        </w:rPr>
        <w:t>Installation Rate</w:t>
      </w:r>
    </w:p>
    <w:p w:rsidR="00360A19" w:rsidRDefault="00360A19" w:rsidP="0035242A">
      <w:pPr>
        <w:rPr>
          <w:rFonts w:cs="Arial"/>
          <w:szCs w:val="20"/>
        </w:rPr>
      </w:pPr>
      <w:r>
        <w:rPr>
          <w:rFonts w:cs="Arial"/>
          <w:szCs w:val="20"/>
        </w:rPr>
        <w:t>The IR value was obtained using the DEER REA</w:t>
      </w:r>
      <w:r w:rsidR="00DD439B">
        <w:rPr>
          <w:rFonts w:cs="Arial"/>
          <w:szCs w:val="20"/>
        </w:rPr>
        <w:t>D</w:t>
      </w:r>
      <w:r>
        <w:rPr>
          <w:rFonts w:cs="Arial"/>
          <w:szCs w:val="20"/>
        </w:rPr>
        <w:t>I tool.  The relevant IR value for the measures in this work paper is listed in the table below:</w:t>
      </w:r>
    </w:p>
    <w:p w:rsidR="00360A19" w:rsidRDefault="00360A19" w:rsidP="0035242A">
      <w:pPr>
        <w:rPr>
          <w:rFonts w:cs="Arial"/>
          <w:szCs w:val="20"/>
        </w:rPr>
      </w:pPr>
    </w:p>
    <w:p w:rsidR="00360A19" w:rsidRDefault="00360A19" w:rsidP="00360A19">
      <w:pPr>
        <w:pStyle w:val="Caption"/>
        <w:keepNext/>
        <w:jc w:val="center"/>
      </w:pPr>
      <w:bookmarkStart w:id="30" w:name="_Toc437853373"/>
      <w:r>
        <w:t xml:space="preserve">Table </w:t>
      </w:r>
      <w:fldSimple w:instr=" SEQ Table \* ARABIC ">
        <w:r w:rsidR="007833A0">
          <w:rPr>
            <w:noProof/>
          </w:rPr>
          <w:t>7</w:t>
        </w:r>
      </w:fldSimple>
      <w:r>
        <w:t xml:space="preserve"> Installation Rate</w:t>
      </w:r>
      <w:bookmarkEnd w:id="30"/>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360A19" w:rsidRPr="00360A19" w:rsidTr="00360A19">
        <w:tc>
          <w:tcPr>
            <w:tcW w:w="716" w:type="pct"/>
            <w:shd w:val="clear" w:color="auto" w:fill="D9D9D9" w:themeFill="background1" w:themeFillShade="D9"/>
          </w:tcPr>
          <w:p w:rsidR="00360A19" w:rsidRPr="00360A19" w:rsidRDefault="00360A19" w:rsidP="00F4043B">
            <w:pPr>
              <w:rPr>
                <w:rFonts w:cstheme="minorHAnsi"/>
                <w:b/>
                <w:szCs w:val="20"/>
              </w:rPr>
            </w:pPr>
            <w:r w:rsidRPr="00360A19">
              <w:rPr>
                <w:rFonts w:cstheme="minorHAnsi"/>
                <w:b/>
                <w:szCs w:val="20"/>
              </w:rPr>
              <w:t>GSIA ID</w:t>
            </w:r>
          </w:p>
        </w:tc>
        <w:tc>
          <w:tcPr>
            <w:tcW w:w="1398" w:type="pct"/>
            <w:shd w:val="clear" w:color="auto" w:fill="D9D9D9" w:themeFill="background1" w:themeFillShade="D9"/>
          </w:tcPr>
          <w:p w:rsidR="00360A19" w:rsidRPr="00360A19" w:rsidRDefault="00360A19" w:rsidP="00F4043B">
            <w:pPr>
              <w:rPr>
                <w:rFonts w:cstheme="minorHAnsi"/>
                <w:b/>
                <w:szCs w:val="20"/>
              </w:rPr>
            </w:pPr>
            <w:r w:rsidRPr="00360A19">
              <w:rPr>
                <w:rFonts w:cstheme="minorHAnsi"/>
                <w:b/>
                <w:szCs w:val="20"/>
              </w:rPr>
              <w:t>Description</w:t>
            </w:r>
          </w:p>
        </w:tc>
        <w:tc>
          <w:tcPr>
            <w:tcW w:w="682" w:type="pct"/>
            <w:shd w:val="clear" w:color="auto" w:fill="D9D9D9" w:themeFill="background1" w:themeFillShade="D9"/>
          </w:tcPr>
          <w:p w:rsidR="00360A19" w:rsidRPr="00360A19" w:rsidRDefault="00360A19" w:rsidP="00F4043B">
            <w:pPr>
              <w:rPr>
                <w:rFonts w:cstheme="minorHAnsi"/>
                <w:b/>
                <w:szCs w:val="20"/>
              </w:rPr>
            </w:pPr>
            <w:r w:rsidRPr="00360A19">
              <w:rPr>
                <w:rFonts w:cstheme="minorHAnsi"/>
                <w:b/>
                <w:szCs w:val="20"/>
              </w:rPr>
              <w:t>Sector</w:t>
            </w:r>
          </w:p>
        </w:tc>
        <w:tc>
          <w:tcPr>
            <w:tcW w:w="852" w:type="pct"/>
            <w:shd w:val="clear" w:color="auto" w:fill="D9D9D9" w:themeFill="background1" w:themeFillShade="D9"/>
          </w:tcPr>
          <w:p w:rsidR="00360A19" w:rsidRPr="00360A19" w:rsidRDefault="00360A19" w:rsidP="00F4043B">
            <w:pPr>
              <w:rPr>
                <w:rFonts w:cstheme="minorHAnsi"/>
                <w:b/>
                <w:szCs w:val="20"/>
              </w:rPr>
            </w:pPr>
            <w:r w:rsidRPr="00360A19">
              <w:rPr>
                <w:rFonts w:cstheme="minorHAnsi"/>
                <w:b/>
                <w:szCs w:val="20"/>
              </w:rPr>
              <w:t>BldgType</w:t>
            </w:r>
          </w:p>
        </w:tc>
        <w:tc>
          <w:tcPr>
            <w:tcW w:w="705" w:type="pct"/>
            <w:shd w:val="clear" w:color="auto" w:fill="D9D9D9" w:themeFill="background1" w:themeFillShade="D9"/>
          </w:tcPr>
          <w:p w:rsidR="00360A19" w:rsidRPr="00360A19" w:rsidRDefault="00360A19" w:rsidP="00F4043B">
            <w:pPr>
              <w:rPr>
                <w:rFonts w:cstheme="minorHAnsi"/>
                <w:b/>
                <w:szCs w:val="20"/>
              </w:rPr>
            </w:pPr>
            <w:r w:rsidRPr="00360A19">
              <w:rPr>
                <w:rFonts w:cstheme="minorHAnsi"/>
                <w:b/>
                <w:szCs w:val="20"/>
              </w:rPr>
              <w:t>ProgDelivID</w:t>
            </w:r>
          </w:p>
        </w:tc>
        <w:tc>
          <w:tcPr>
            <w:tcW w:w="647" w:type="pct"/>
            <w:shd w:val="clear" w:color="auto" w:fill="D9D9D9" w:themeFill="background1" w:themeFillShade="D9"/>
          </w:tcPr>
          <w:p w:rsidR="00360A19" w:rsidRPr="00360A19" w:rsidRDefault="00360A19" w:rsidP="00F4043B">
            <w:pPr>
              <w:rPr>
                <w:rFonts w:cstheme="minorHAnsi"/>
                <w:b/>
                <w:szCs w:val="20"/>
              </w:rPr>
            </w:pPr>
            <w:r w:rsidRPr="00360A19">
              <w:rPr>
                <w:rFonts w:cstheme="minorHAnsi"/>
                <w:b/>
                <w:szCs w:val="20"/>
              </w:rPr>
              <w:t>GSIAValue</w:t>
            </w:r>
          </w:p>
        </w:tc>
      </w:tr>
      <w:tr w:rsidR="00360A19" w:rsidRPr="00360A19" w:rsidTr="00360A19">
        <w:tc>
          <w:tcPr>
            <w:tcW w:w="716" w:type="pct"/>
          </w:tcPr>
          <w:p w:rsidR="00360A19" w:rsidRPr="00360A19" w:rsidRDefault="00360A19" w:rsidP="00F4043B">
            <w:pPr>
              <w:rPr>
                <w:szCs w:val="20"/>
              </w:rPr>
            </w:pPr>
            <w:r w:rsidRPr="00360A19">
              <w:rPr>
                <w:szCs w:val="20"/>
              </w:rPr>
              <w:t>Def-GSIA</w:t>
            </w:r>
          </w:p>
        </w:tc>
        <w:tc>
          <w:tcPr>
            <w:tcW w:w="1398" w:type="pct"/>
          </w:tcPr>
          <w:p w:rsidR="00360A19" w:rsidRPr="00360A19" w:rsidRDefault="00360A19" w:rsidP="00F4043B">
            <w:pPr>
              <w:rPr>
                <w:szCs w:val="20"/>
              </w:rPr>
            </w:pPr>
            <w:r w:rsidRPr="00360A19">
              <w:rPr>
                <w:szCs w:val="20"/>
              </w:rPr>
              <w:t>Default GSIA values</w:t>
            </w:r>
          </w:p>
        </w:tc>
        <w:tc>
          <w:tcPr>
            <w:tcW w:w="682" w:type="pct"/>
          </w:tcPr>
          <w:p w:rsidR="00360A19" w:rsidRPr="00360A19" w:rsidRDefault="00360A19" w:rsidP="00F4043B">
            <w:pPr>
              <w:rPr>
                <w:szCs w:val="20"/>
              </w:rPr>
            </w:pPr>
            <w:r w:rsidRPr="00360A19">
              <w:rPr>
                <w:szCs w:val="20"/>
              </w:rPr>
              <w:t>Any</w:t>
            </w:r>
          </w:p>
        </w:tc>
        <w:tc>
          <w:tcPr>
            <w:tcW w:w="852" w:type="pct"/>
          </w:tcPr>
          <w:p w:rsidR="00360A19" w:rsidRPr="00360A19" w:rsidRDefault="00360A19" w:rsidP="00F4043B">
            <w:pPr>
              <w:rPr>
                <w:szCs w:val="20"/>
              </w:rPr>
            </w:pPr>
            <w:r w:rsidRPr="00360A19">
              <w:rPr>
                <w:szCs w:val="20"/>
              </w:rPr>
              <w:t>Any</w:t>
            </w:r>
          </w:p>
        </w:tc>
        <w:tc>
          <w:tcPr>
            <w:tcW w:w="705" w:type="pct"/>
          </w:tcPr>
          <w:p w:rsidR="00360A19" w:rsidRPr="00360A19" w:rsidRDefault="00360A19" w:rsidP="00F4043B">
            <w:pPr>
              <w:rPr>
                <w:szCs w:val="20"/>
              </w:rPr>
            </w:pPr>
            <w:r w:rsidRPr="00360A19">
              <w:rPr>
                <w:szCs w:val="20"/>
              </w:rPr>
              <w:t>Any</w:t>
            </w:r>
          </w:p>
        </w:tc>
        <w:tc>
          <w:tcPr>
            <w:tcW w:w="647" w:type="pct"/>
          </w:tcPr>
          <w:p w:rsidR="00360A19" w:rsidRPr="00360A19" w:rsidRDefault="00360A19" w:rsidP="00F4043B">
            <w:pPr>
              <w:rPr>
                <w:szCs w:val="20"/>
              </w:rPr>
            </w:pPr>
            <w:r w:rsidRPr="00360A19">
              <w:rPr>
                <w:szCs w:val="20"/>
              </w:rPr>
              <w:t>1</w:t>
            </w:r>
          </w:p>
        </w:tc>
      </w:tr>
    </w:tbl>
    <w:p w:rsidR="00360A19" w:rsidRPr="00360A19" w:rsidRDefault="00360A19" w:rsidP="0035242A">
      <w:pPr>
        <w:rPr>
          <w:rFonts w:cs="Arial"/>
          <w:szCs w:val="20"/>
        </w:rPr>
      </w:pPr>
    </w:p>
    <w:p w:rsidR="0035242A" w:rsidRPr="00DD439B" w:rsidRDefault="0035242A" w:rsidP="0035242A">
      <w:pPr>
        <w:rPr>
          <w:rFonts w:cs="Arial"/>
          <w:i/>
          <w:szCs w:val="20"/>
          <w:u w:val="single"/>
        </w:rPr>
      </w:pPr>
      <w:r w:rsidRPr="00DD439B">
        <w:rPr>
          <w:rFonts w:cs="Arial"/>
          <w:b/>
          <w:szCs w:val="20"/>
          <w:u w:val="single"/>
        </w:rPr>
        <w:t>Effective Useful Life</w:t>
      </w:r>
    </w:p>
    <w:p w:rsidR="0035242A" w:rsidRDefault="0035242A" w:rsidP="0035242A">
      <w:pPr>
        <w:keepNext/>
        <w:keepLines/>
        <w:rPr>
          <w:rFonts w:cs="Arial"/>
          <w:szCs w:val="20"/>
        </w:rPr>
      </w:pPr>
      <w:r>
        <w:rPr>
          <w:rFonts w:cs="Arial"/>
          <w:szCs w:val="20"/>
        </w:rPr>
        <w:t xml:space="preserve">EUL varies across building types based on the different hours of operation. READI tool has an EUL of 16 years for Display case Lighting LED’s. (EUL_ID= </w:t>
      </w:r>
      <w:r w:rsidRPr="00254966">
        <w:rPr>
          <w:rFonts w:cs="Arial"/>
          <w:szCs w:val="20"/>
        </w:rPr>
        <w:t>GrocDisp-FixtLtg-LED</w:t>
      </w:r>
      <w:r>
        <w:rPr>
          <w:rFonts w:cs="Arial"/>
          <w:szCs w:val="20"/>
        </w:rPr>
        <w:t>).  Since READI tool shows an EUL of 16 years for this grocery measure, the LED lifetime in hours is calculated as 16 times the GRO annual operating hours, 16*</w:t>
      </w:r>
      <w:r w:rsidR="00777F66">
        <w:rPr>
          <w:rFonts w:cs="Arial"/>
          <w:szCs w:val="20"/>
        </w:rPr>
        <w:t>4710</w:t>
      </w:r>
      <w:r>
        <w:rPr>
          <w:rFonts w:cs="Arial"/>
          <w:szCs w:val="20"/>
        </w:rPr>
        <w:t xml:space="preserve"> = 7</w:t>
      </w:r>
      <w:r w:rsidR="00777F66">
        <w:rPr>
          <w:rFonts w:cs="Arial"/>
          <w:szCs w:val="20"/>
        </w:rPr>
        <w:t xml:space="preserve">5,360 </w:t>
      </w:r>
      <w:r>
        <w:rPr>
          <w:rFonts w:cs="Arial"/>
          <w:szCs w:val="20"/>
        </w:rPr>
        <w:t>hours. This value is used to calculate the EUL for the different building types.</w:t>
      </w:r>
    </w:p>
    <w:p w:rsidR="0035242A" w:rsidRPr="00CF6FA6" w:rsidRDefault="0035242A" w:rsidP="0035242A">
      <w:pPr>
        <w:rPr>
          <w:rFonts w:cs="Arial"/>
          <w:i/>
          <w:szCs w:val="20"/>
        </w:rPr>
      </w:pPr>
    </w:p>
    <w:p w:rsidR="007833A0" w:rsidRDefault="007833A0" w:rsidP="007833A0">
      <w:pPr>
        <w:pStyle w:val="Caption"/>
        <w:keepNext/>
        <w:jc w:val="center"/>
      </w:pPr>
      <w:bookmarkStart w:id="31" w:name="_Toc437853374"/>
      <w:r>
        <w:t xml:space="preserve">Table </w:t>
      </w:r>
      <w:fldSimple w:instr=" SEQ Table \* ARABIC ">
        <w:r>
          <w:rPr>
            <w:noProof/>
          </w:rPr>
          <w:t>8</w:t>
        </w:r>
      </w:fldSimple>
      <w:r>
        <w:t xml:space="preserve"> Effective Useful Life</w:t>
      </w:r>
      <w:bookmarkEnd w:id="31"/>
    </w:p>
    <w:tbl>
      <w:tblPr>
        <w:tblStyle w:val="TableGrid1"/>
        <w:tblW w:w="5000" w:type="pct"/>
        <w:tblLook w:val="04A0" w:firstRow="1" w:lastRow="0" w:firstColumn="1" w:lastColumn="0" w:noHBand="0" w:noVBand="1"/>
      </w:tblPr>
      <w:tblGrid>
        <w:gridCol w:w="1547"/>
        <w:gridCol w:w="2720"/>
        <w:gridCol w:w="877"/>
        <w:gridCol w:w="1450"/>
        <w:gridCol w:w="1526"/>
        <w:gridCol w:w="1456"/>
      </w:tblGrid>
      <w:tr w:rsidR="007833A0" w:rsidRPr="00500C4E" w:rsidTr="007833A0">
        <w:tc>
          <w:tcPr>
            <w:tcW w:w="808" w:type="pct"/>
            <w:shd w:val="clear" w:color="auto" w:fill="D9D9D9" w:themeFill="background1" w:themeFillShade="D9"/>
          </w:tcPr>
          <w:p w:rsidR="007833A0" w:rsidRPr="00920905" w:rsidRDefault="007833A0" w:rsidP="00F4043B">
            <w:pPr>
              <w:rPr>
                <w:rFonts w:cstheme="minorHAnsi"/>
                <w:b/>
                <w:szCs w:val="20"/>
              </w:rPr>
            </w:pPr>
            <w:r w:rsidRPr="00920905">
              <w:rPr>
                <w:rFonts w:cstheme="minorHAnsi"/>
                <w:b/>
                <w:szCs w:val="20"/>
              </w:rPr>
              <w:t>EUL ID</w:t>
            </w:r>
          </w:p>
        </w:tc>
        <w:tc>
          <w:tcPr>
            <w:tcW w:w="1420" w:type="pct"/>
            <w:shd w:val="clear" w:color="auto" w:fill="D9D9D9" w:themeFill="background1" w:themeFillShade="D9"/>
          </w:tcPr>
          <w:p w:rsidR="007833A0" w:rsidRPr="00920905" w:rsidRDefault="007833A0" w:rsidP="00F4043B">
            <w:pPr>
              <w:rPr>
                <w:rFonts w:cstheme="minorHAnsi"/>
                <w:b/>
                <w:szCs w:val="20"/>
              </w:rPr>
            </w:pPr>
            <w:r w:rsidRPr="00920905">
              <w:rPr>
                <w:rFonts w:cstheme="minorHAnsi"/>
                <w:b/>
                <w:szCs w:val="20"/>
              </w:rPr>
              <w:t>Description</w:t>
            </w:r>
          </w:p>
        </w:tc>
        <w:tc>
          <w:tcPr>
            <w:tcW w:w="458" w:type="pct"/>
            <w:shd w:val="clear" w:color="auto" w:fill="D9D9D9" w:themeFill="background1" w:themeFillShade="D9"/>
          </w:tcPr>
          <w:p w:rsidR="007833A0" w:rsidRPr="00920905" w:rsidRDefault="007833A0" w:rsidP="00F4043B">
            <w:pPr>
              <w:rPr>
                <w:rFonts w:cstheme="minorHAnsi"/>
                <w:b/>
                <w:szCs w:val="20"/>
              </w:rPr>
            </w:pPr>
            <w:r w:rsidRPr="00920905">
              <w:rPr>
                <w:rFonts w:cstheme="minorHAnsi"/>
                <w:b/>
                <w:szCs w:val="20"/>
              </w:rPr>
              <w:t>Sector</w:t>
            </w:r>
          </w:p>
        </w:tc>
        <w:tc>
          <w:tcPr>
            <w:tcW w:w="757" w:type="pct"/>
            <w:shd w:val="clear" w:color="auto" w:fill="D9D9D9" w:themeFill="background1" w:themeFillShade="D9"/>
          </w:tcPr>
          <w:p w:rsidR="007833A0" w:rsidRPr="00920905" w:rsidRDefault="007833A0" w:rsidP="00F4043B">
            <w:pPr>
              <w:rPr>
                <w:rFonts w:cstheme="minorHAnsi"/>
                <w:b/>
                <w:szCs w:val="20"/>
              </w:rPr>
            </w:pPr>
            <w:r w:rsidRPr="00920905">
              <w:rPr>
                <w:rFonts w:cstheme="minorHAnsi"/>
                <w:b/>
                <w:szCs w:val="20"/>
              </w:rPr>
              <w:t>UseCategory</w:t>
            </w:r>
          </w:p>
        </w:tc>
        <w:tc>
          <w:tcPr>
            <w:tcW w:w="797" w:type="pct"/>
            <w:shd w:val="clear" w:color="auto" w:fill="D9D9D9" w:themeFill="background1" w:themeFillShade="D9"/>
          </w:tcPr>
          <w:p w:rsidR="007833A0" w:rsidRPr="00920905" w:rsidRDefault="007833A0" w:rsidP="00F4043B">
            <w:pPr>
              <w:rPr>
                <w:rFonts w:cstheme="minorHAnsi"/>
                <w:b/>
                <w:szCs w:val="20"/>
              </w:rPr>
            </w:pPr>
            <w:r w:rsidRPr="00920905">
              <w:rPr>
                <w:rFonts w:cstheme="minorHAnsi"/>
                <w:b/>
                <w:szCs w:val="20"/>
              </w:rPr>
              <w:t>EUL (Years)</w:t>
            </w:r>
          </w:p>
        </w:tc>
        <w:tc>
          <w:tcPr>
            <w:tcW w:w="761" w:type="pct"/>
            <w:shd w:val="clear" w:color="auto" w:fill="D9D9D9" w:themeFill="background1" w:themeFillShade="D9"/>
          </w:tcPr>
          <w:p w:rsidR="007833A0" w:rsidRPr="00920905" w:rsidRDefault="007833A0" w:rsidP="00F4043B">
            <w:pPr>
              <w:rPr>
                <w:rFonts w:cstheme="minorHAnsi"/>
                <w:b/>
                <w:szCs w:val="20"/>
              </w:rPr>
            </w:pPr>
            <w:r w:rsidRPr="00920905">
              <w:rPr>
                <w:rFonts w:cstheme="minorHAnsi"/>
                <w:b/>
                <w:szCs w:val="20"/>
              </w:rPr>
              <w:t>RUL (Years)</w:t>
            </w:r>
          </w:p>
        </w:tc>
      </w:tr>
      <w:tr w:rsidR="007833A0" w:rsidRPr="007833A0" w:rsidTr="007833A0">
        <w:trPr>
          <w:trHeight w:val="243"/>
        </w:trPr>
        <w:tc>
          <w:tcPr>
            <w:tcW w:w="808" w:type="pct"/>
          </w:tcPr>
          <w:p w:rsidR="007833A0" w:rsidRPr="007833A0" w:rsidRDefault="007833A0" w:rsidP="00F4043B">
            <w:pPr>
              <w:rPr>
                <w:szCs w:val="20"/>
              </w:rPr>
            </w:pPr>
            <w:r w:rsidRPr="007833A0">
              <w:rPr>
                <w:szCs w:val="20"/>
              </w:rPr>
              <w:t>GrocDisp-FixtLtg-LED</w:t>
            </w:r>
          </w:p>
        </w:tc>
        <w:tc>
          <w:tcPr>
            <w:tcW w:w="1420" w:type="pct"/>
          </w:tcPr>
          <w:p w:rsidR="007833A0" w:rsidRPr="007833A0" w:rsidRDefault="007833A0" w:rsidP="00F4043B">
            <w:pPr>
              <w:rPr>
                <w:szCs w:val="20"/>
              </w:rPr>
            </w:pPr>
            <w:r w:rsidRPr="007833A0">
              <w:rPr>
                <w:szCs w:val="20"/>
              </w:rPr>
              <w:t>Display Case Lighting LED Lighting</w:t>
            </w:r>
          </w:p>
        </w:tc>
        <w:tc>
          <w:tcPr>
            <w:tcW w:w="458" w:type="pct"/>
          </w:tcPr>
          <w:p w:rsidR="007833A0" w:rsidRPr="007833A0" w:rsidRDefault="007833A0" w:rsidP="00F4043B">
            <w:pPr>
              <w:rPr>
                <w:szCs w:val="20"/>
              </w:rPr>
            </w:pPr>
            <w:r w:rsidRPr="007833A0">
              <w:rPr>
                <w:szCs w:val="20"/>
              </w:rPr>
              <w:t>Com</w:t>
            </w:r>
          </w:p>
        </w:tc>
        <w:tc>
          <w:tcPr>
            <w:tcW w:w="757" w:type="pct"/>
          </w:tcPr>
          <w:p w:rsidR="007833A0" w:rsidRPr="007833A0" w:rsidRDefault="007833A0" w:rsidP="00F4043B">
            <w:pPr>
              <w:rPr>
                <w:szCs w:val="20"/>
              </w:rPr>
            </w:pPr>
            <w:r w:rsidRPr="007833A0">
              <w:rPr>
                <w:szCs w:val="20"/>
              </w:rPr>
              <w:t>Lighting</w:t>
            </w:r>
          </w:p>
        </w:tc>
        <w:tc>
          <w:tcPr>
            <w:tcW w:w="797" w:type="pct"/>
          </w:tcPr>
          <w:p w:rsidR="007833A0" w:rsidRPr="007833A0" w:rsidRDefault="007833A0" w:rsidP="00F4043B">
            <w:pPr>
              <w:rPr>
                <w:szCs w:val="20"/>
              </w:rPr>
            </w:pPr>
            <w:r w:rsidRPr="007833A0">
              <w:rPr>
                <w:szCs w:val="20"/>
              </w:rPr>
              <w:t>16</w:t>
            </w:r>
          </w:p>
        </w:tc>
        <w:tc>
          <w:tcPr>
            <w:tcW w:w="761" w:type="pct"/>
          </w:tcPr>
          <w:p w:rsidR="007833A0" w:rsidRPr="007833A0" w:rsidRDefault="007833A0" w:rsidP="00F4043B">
            <w:pPr>
              <w:rPr>
                <w:szCs w:val="20"/>
              </w:rPr>
            </w:pPr>
            <w:r w:rsidRPr="007833A0">
              <w:rPr>
                <w:szCs w:val="20"/>
              </w:rPr>
              <w:t>5.3</w:t>
            </w:r>
          </w:p>
        </w:tc>
      </w:tr>
    </w:tbl>
    <w:p w:rsidR="002E0043" w:rsidRPr="00AE5408" w:rsidRDefault="001248A3" w:rsidP="002E0043">
      <w:pPr>
        <w:pStyle w:val="Heading2"/>
      </w:pPr>
      <w:bookmarkStart w:id="32" w:name="_Toc437853349"/>
      <w:r w:rsidRPr="00D705EF">
        <w:t>1.</w:t>
      </w:r>
      <w:r w:rsidR="00FA595F" w:rsidRPr="00D705EF">
        <w:t>4</w:t>
      </w:r>
      <w:r w:rsidR="00793646" w:rsidRPr="00D705EF">
        <w:t>.2</w:t>
      </w:r>
      <w:r w:rsidR="00FA595F" w:rsidRPr="00D705EF">
        <w:t xml:space="preserve"> </w:t>
      </w:r>
      <w:r w:rsidR="00E71EF1" w:rsidRPr="00D705EF">
        <w:t xml:space="preserve">Codes &amp; Standards Requirements </w:t>
      </w:r>
      <w:r w:rsidR="009C5CA7" w:rsidRPr="00D705EF">
        <w:t>Base Case and Measure Information</w:t>
      </w:r>
      <w:bookmarkEnd w:id="32"/>
    </w:p>
    <w:p w:rsidR="00FC6B85" w:rsidRPr="00437C35" w:rsidRDefault="00FC6B85" w:rsidP="00FC6B85">
      <w:pPr>
        <w:pStyle w:val="BodyText"/>
        <w:spacing w:after="0"/>
        <w:rPr>
          <w:rFonts w:cs="Arial"/>
          <w:b/>
        </w:rPr>
      </w:pPr>
    </w:p>
    <w:p w:rsidR="00506D3E" w:rsidRDefault="00506D3E" w:rsidP="00506D3E">
      <w:pPr>
        <w:rPr>
          <w:rFonts w:cs="Arial"/>
          <w:szCs w:val="20"/>
        </w:rPr>
      </w:pPr>
      <w:r w:rsidRPr="00D705EF">
        <w:rPr>
          <w:rFonts w:cs="Arial"/>
          <w:b/>
          <w:i/>
        </w:rPr>
        <w:t>Title 2</w:t>
      </w:r>
      <w:r w:rsidR="00D705EF">
        <w:rPr>
          <w:rFonts w:cs="Arial"/>
          <w:b/>
          <w:i/>
        </w:rPr>
        <w:t>0</w:t>
      </w:r>
      <w:r w:rsidRPr="00D705EF">
        <w:rPr>
          <w:rFonts w:cs="Arial"/>
          <w:b/>
          <w:i/>
        </w:rPr>
        <w:t>:</w:t>
      </w:r>
      <w:r w:rsidRPr="00437C35">
        <w:rPr>
          <w:rFonts w:cs="Arial"/>
        </w:rPr>
        <w:t xml:space="preserve"> </w:t>
      </w:r>
      <w:r w:rsidRPr="00D705EF">
        <w:rPr>
          <w:rFonts w:cs="Arial"/>
          <w:szCs w:val="20"/>
        </w:rPr>
        <w:t>These measures do not fall unde</w:t>
      </w:r>
      <w:r w:rsidR="00450314">
        <w:rPr>
          <w:rFonts w:cs="Arial"/>
          <w:szCs w:val="20"/>
        </w:rPr>
        <w:t>r Title 20</w:t>
      </w:r>
      <w:r w:rsidRPr="00D705EF">
        <w:rPr>
          <w:rFonts w:cs="Arial"/>
          <w:szCs w:val="20"/>
        </w:rPr>
        <w:t xml:space="preserve"> </w:t>
      </w:r>
      <w:r w:rsidR="00450314">
        <w:rPr>
          <w:rFonts w:cs="Arial"/>
          <w:szCs w:val="20"/>
        </w:rPr>
        <w:t xml:space="preserve">[2015] </w:t>
      </w:r>
      <w:r w:rsidRPr="00D705EF">
        <w:rPr>
          <w:rFonts w:cs="Arial"/>
          <w:szCs w:val="20"/>
        </w:rPr>
        <w:t>of th</w:t>
      </w:r>
      <w:r w:rsidR="00C3766D">
        <w:rPr>
          <w:rFonts w:cs="Arial"/>
          <w:szCs w:val="20"/>
        </w:rPr>
        <w:t>e California Energy Regulations, however, maximum annual energy consumptions outlined in Section 1605.1</w:t>
      </w:r>
      <w:r w:rsidR="002B583E">
        <w:rPr>
          <w:rFonts w:cs="Arial"/>
          <w:szCs w:val="20"/>
        </w:rPr>
        <w:t>(a)</w:t>
      </w:r>
      <w:r w:rsidR="00C3766D">
        <w:rPr>
          <w:rFonts w:cs="Arial"/>
          <w:szCs w:val="20"/>
        </w:rPr>
        <w:t>, 1605.2</w:t>
      </w:r>
      <w:r w:rsidR="002B583E">
        <w:rPr>
          <w:rFonts w:cs="Arial"/>
          <w:szCs w:val="20"/>
        </w:rPr>
        <w:t>(a)</w:t>
      </w:r>
      <w:r w:rsidR="00C3766D">
        <w:rPr>
          <w:rFonts w:cs="Arial"/>
          <w:szCs w:val="20"/>
        </w:rPr>
        <w:t>, and 1605.3</w:t>
      </w:r>
      <w:r w:rsidR="002B583E">
        <w:rPr>
          <w:rFonts w:cs="Arial"/>
          <w:szCs w:val="20"/>
        </w:rPr>
        <w:t>(a)</w:t>
      </w:r>
      <w:r w:rsidR="00C3766D">
        <w:rPr>
          <w:rFonts w:cs="Arial"/>
          <w:szCs w:val="20"/>
        </w:rPr>
        <w:t xml:space="preserve"> for commercial </w:t>
      </w:r>
      <w:r w:rsidR="002B583E">
        <w:rPr>
          <w:rFonts w:cs="Arial"/>
          <w:szCs w:val="20"/>
        </w:rPr>
        <w:t>refrigeration</w:t>
      </w:r>
      <w:r w:rsidR="00C3766D">
        <w:rPr>
          <w:rFonts w:cs="Arial"/>
          <w:szCs w:val="20"/>
        </w:rPr>
        <w:t xml:space="preserve"> should also </w:t>
      </w:r>
      <w:r w:rsidR="002B583E">
        <w:rPr>
          <w:rFonts w:cs="Arial"/>
          <w:szCs w:val="20"/>
        </w:rPr>
        <w:t>include</w:t>
      </w:r>
      <w:r w:rsidR="00C3766D">
        <w:rPr>
          <w:rFonts w:cs="Arial"/>
          <w:szCs w:val="20"/>
        </w:rPr>
        <w:t xml:space="preserve"> the energy </w:t>
      </w:r>
      <w:r w:rsidR="002B583E">
        <w:rPr>
          <w:rFonts w:cs="Arial"/>
          <w:szCs w:val="20"/>
        </w:rPr>
        <w:t>being used for lighting and illumination.</w:t>
      </w:r>
    </w:p>
    <w:p w:rsidR="00327496" w:rsidRDefault="00327496" w:rsidP="00506D3E">
      <w:pPr>
        <w:rPr>
          <w:rFonts w:cs="Arial"/>
          <w:b/>
          <w:i/>
        </w:rPr>
      </w:pPr>
    </w:p>
    <w:p w:rsidR="00D705EF" w:rsidRDefault="00E9786A" w:rsidP="00506D3E">
      <w:pPr>
        <w:rPr>
          <w:rFonts w:cs="Arial"/>
          <w:szCs w:val="20"/>
        </w:rPr>
      </w:pPr>
      <w:r w:rsidRPr="00B13099">
        <w:rPr>
          <w:rFonts w:cs="Arial"/>
          <w:b/>
          <w:i/>
        </w:rPr>
        <w:t>Title 24:</w:t>
      </w:r>
      <w:r w:rsidRPr="00B13099">
        <w:t xml:space="preserve"> </w:t>
      </w:r>
      <w:r w:rsidRPr="00B13099">
        <w:rPr>
          <w:rFonts w:cs="Arial"/>
          <w:szCs w:val="20"/>
        </w:rPr>
        <w:t xml:space="preserve"> </w:t>
      </w:r>
      <w:r w:rsidR="00F72289">
        <w:rPr>
          <w:rFonts w:cs="Arial"/>
          <w:szCs w:val="20"/>
        </w:rPr>
        <w:t>Controls for refrigerated display cases are mandatory in Title 24 [2013] in Section 120.6(b)3.  The following is an excerpt from Section 120.6(b)3 relevant to the measures in this work paper.</w:t>
      </w:r>
    </w:p>
    <w:p w:rsidR="00F72289" w:rsidRDefault="00F72289" w:rsidP="00506D3E">
      <w:pPr>
        <w:rPr>
          <w:rFonts w:cs="Arial"/>
          <w:szCs w:val="20"/>
        </w:rPr>
      </w:pPr>
    </w:p>
    <w:p w:rsidR="00F72289" w:rsidRPr="00E9786A" w:rsidRDefault="00F72289" w:rsidP="00506D3E">
      <w:pPr>
        <w:rPr>
          <w:i/>
        </w:rPr>
      </w:pPr>
      <w:r>
        <w:rPr>
          <w:noProof/>
        </w:rPr>
        <w:drawing>
          <wp:inline distT="0" distB="0" distL="0" distR="0" wp14:anchorId="78DE24C4" wp14:editId="031E16A0">
            <wp:extent cx="5819775" cy="1571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819775" cy="1571625"/>
                    </a:xfrm>
                    <a:prstGeom prst="rect">
                      <a:avLst/>
                    </a:prstGeom>
                  </pic:spPr>
                </pic:pic>
              </a:graphicData>
            </a:graphic>
          </wp:inline>
        </w:drawing>
      </w:r>
    </w:p>
    <w:p w:rsidR="00327496" w:rsidRDefault="00327496" w:rsidP="00FC6B85">
      <w:pPr>
        <w:rPr>
          <w:rFonts w:cs="Arial"/>
          <w:b/>
          <w:i/>
        </w:rPr>
      </w:pPr>
    </w:p>
    <w:p w:rsidR="00375B1F" w:rsidRPr="00F72289" w:rsidRDefault="00E9786A" w:rsidP="00F72289">
      <w:pPr>
        <w:rPr>
          <w:rFonts w:cs="Arial"/>
          <w:szCs w:val="20"/>
        </w:rPr>
      </w:pPr>
      <w:r>
        <w:rPr>
          <w:rFonts w:cs="Arial"/>
          <w:b/>
          <w:i/>
        </w:rPr>
        <w:t>F</w:t>
      </w:r>
      <w:r w:rsidRPr="00B13099">
        <w:rPr>
          <w:rFonts w:cs="Arial"/>
          <w:b/>
          <w:i/>
        </w:rPr>
        <w:t>ederal Standards:</w:t>
      </w:r>
      <w:r w:rsidRPr="00B13099">
        <w:t xml:space="preserve"> </w:t>
      </w:r>
      <w:r w:rsidR="00FC6B85" w:rsidRPr="00D00860">
        <w:rPr>
          <w:rFonts w:cs="Arial"/>
          <w:szCs w:val="20"/>
        </w:rPr>
        <w:t xml:space="preserve">The Energy Policy Act of 2005 (EPAct 2005) required the Department of Energy to develop energy efficiency standards for many types of commercial refrigeration equipment, including display cases.  </w:t>
      </w:r>
      <w:r w:rsidR="001D268A" w:rsidRPr="00D00860">
        <w:rPr>
          <w:rFonts w:cs="Arial"/>
          <w:szCs w:val="20"/>
        </w:rPr>
        <w:t>However, the</w:t>
      </w:r>
      <w:r w:rsidR="00FC6B85" w:rsidRPr="00D00860">
        <w:rPr>
          <w:rFonts w:cs="Arial"/>
          <w:szCs w:val="20"/>
        </w:rPr>
        <w:t xml:space="preserve"> regulatory language does not cover specific technologies, but rather energy performance of the display case as a whole.  </w:t>
      </w:r>
      <w:r w:rsidR="001D268A" w:rsidRPr="00D00860">
        <w:rPr>
          <w:rFonts w:cs="Arial"/>
          <w:szCs w:val="20"/>
        </w:rPr>
        <w:t>In addition, EPAct 2005 covers “General Service” fluorescent lamps</w:t>
      </w:r>
      <w:r>
        <w:rPr>
          <w:rFonts w:cs="Arial"/>
          <w:szCs w:val="20"/>
        </w:rPr>
        <w:t xml:space="preserve"> (GSFLs), and a GSFL standard takes effect July 2012</w:t>
      </w:r>
      <w:r w:rsidR="001D268A" w:rsidRPr="00D00860">
        <w:rPr>
          <w:rFonts w:cs="Arial"/>
          <w:szCs w:val="20"/>
        </w:rPr>
        <w:t xml:space="preserve">, but non-general applications are excluded. Fluorescent lamps specifically designed for cold temperature installations are </w:t>
      </w:r>
      <w:r>
        <w:rPr>
          <w:rFonts w:cs="Arial"/>
          <w:szCs w:val="20"/>
        </w:rPr>
        <w:t>specifically excluded from regulation</w:t>
      </w:r>
      <w:r w:rsidR="001D268A" w:rsidRPr="00D00860">
        <w:rPr>
          <w:rFonts w:cs="Arial"/>
          <w:szCs w:val="20"/>
        </w:rPr>
        <w:t>.</w:t>
      </w:r>
      <w:r w:rsidR="00327496">
        <w:rPr>
          <w:rStyle w:val="EndnoteReference"/>
          <w:rFonts w:cs="Arial"/>
          <w:szCs w:val="20"/>
        </w:rPr>
        <w:endnoteReference w:id="6"/>
      </w:r>
      <w:r w:rsidR="001D268A" w:rsidRPr="00D00860">
        <w:rPr>
          <w:rFonts w:cs="Arial"/>
          <w:szCs w:val="20"/>
        </w:rPr>
        <w:t xml:space="preserve"> </w:t>
      </w:r>
    </w:p>
    <w:p w:rsidR="00DD439B" w:rsidRDefault="00DD439B" w:rsidP="002E0043">
      <w:pPr>
        <w:pStyle w:val="Heading2"/>
        <w:keepNext w:val="0"/>
      </w:pPr>
    </w:p>
    <w:p w:rsidR="002E0043" w:rsidRPr="00E9786A" w:rsidRDefault="001248A3" w:rsidP="002E0043">
      <w:pPr>
        <w:pStyle w:val="Heading2"/>
        <w:keepNext w:val="0"/>
      </w:pPr>
      <w:bookmarkStart w:id="33" w:name="_Toc437853350"/>
      <w:r w:rsidRPr="00D705EF">
        <w:lastRenderedPageBreak/>
        <w:t>1.4</w:t>
      </w:r>
      <w:r w:rsidR="00264B03" w:rsidRPr="00D705EF">
        <w:t>.3</w:t>
      </w:r>
      <w:r w:rsidR="00A02F0A" w:rsidRPr="00D705EF">
        <w:t xml:space="preserve"> </w:t>
      </w:r>
      <w:r w:rsidR="00C069A2" w:rsidRPr="00D705EF">
        <w:t>EM&amp;V</w:t>
      </w:r>
      <w:r w:rsidR="00755961" w:rsidRPr="00D705EF">
        <w:t>, Market Potential,</w:t>
      </w:r>
      <w:r w:rsidR="00C069A2" w:rsidRPr="00D705EF">
        <w:t xml:space="preserve"> </w:t>
      </w:r>
      <w:r w:rsidR="0044337C" w:rsidRPr="00D705EF">
        <w:t xml:space="preserve">and Other </w:t>
      </w:r>
      <w:r w:rsidR="00C069A2" w:rsidRPr="00D705EF">
        <w:t>Studies</w:t>
      </w:r>
      <w:r w:rsidR="009C5CA7" w:rsidRPr="00D705EF">
        <w:t xml:space="preserve"> – Base Case and Measure Case Information</w:t>
      </w:r>
      <w:bookmarkEnd w:id="33"/>
    </w:p>
    <w:p w:rsidR="00DA0D90" w:rsidRDefault="00DA0D90" w:rsidP="00D937E6">
      <w:pPr>
        <w:autoSpaceDE w:val="0"/>
        <w:autoSpaceDN w:val="0"/>
        <w:adjustRightInd w:val="0"/>
        <w:rPr>
          <w:rFonts w:cs="Arial"/>
          <w:szCs w:val="20"/>
        </w:rPr>
      </w:pPr>
      <w:r>
        <w:rPr>
          <w:rFonts w:cs="Arial"/>
          <w:szCs w:val="20"/>
        </w:rPr>
        <w:t xml:space="preserve">LED Refrigerated Case lighting technology has been closely tracked in California Emerging Technology studies. PG&amp;E has conducted a series of three ET studies, and SCE </w:t>
      </w:r>
      <w:r w:rsidR="009643BE">
        <w:rPr>
          <w:rFonts w:cs="Arial"/>
          <w:szCs w:val="20"/>
        </w:rPr>
        <w:t>and SMUD have conducted studies</w:t>
      </w:r>
      <w:r w:rsidR="001B5FFC">
        <w:rPr>
          <w:rFonts w:cs="Arial"/>
          <w:szCs w:val="20"/>
        </w:rPr>
        <w:t>: Application Assessment Reports #0723</w:t>
      </w:r>
      <w:r w:rsidR="00CF6FA6">
        <w:rPr>
          <w:rStyle w:val="EndnoteReference"/>
          <w:rFonts w:cs="Arial"/>
          <w:szCs w:val="20"/>
        </w:rPr>
        <w:endnoteReference w:id="7"/>
      </w:r>
      <w:r w:rsidR="001B5FFC">
        <w:rPr>
          <w:rFonts w:cs="Arial"/>
          <w:szCs w:val="20"/>
        </w:rPr>
        <w:t>, #0722</w:t>
      </w:r>
      <w:r w:rsidR="001B5FFC">
        <w:rPr>
          <w:rStyle w:val="EndnoteReference"/>
          <w:rFonts w:cs="Arial"/>
          <w:szCs w:val="20"/>
        </w:rPr>
        <w:endnoteReference w:id="8"/>
      </w:r>
      <w:r w:rsidR="001B5FFC">
        <w:rPr>
          <w:rFonts w:cs="Arial"/>
          <w:szCs w:val="20"/>
        </w:rPr>
        <w:t>, #0608</w:t>
      </w:r>
      <w:r w:rsidR="00524D55">
        <w:rPr>
          <w:rFonts w:cs="Arial"/>
          <w:szCs w:val="20"/>
        </w:rPr>
        <w:t xml:space="preserve"> (Ref #3)</w:t>
      </w:r>
      <w:r w:rsidR="001B5FFC" w:rsidRPr="007518AC">
        <w:rPr>
          <w:rFonts w:cs="Arial"/>
          <w:szCs w:val="20"/>
          <w:vertAlign w:val="superscript"/>
        </w:rPr>
        <w:t xml:space="preserve"> </w:t>
      </w:r>
      <w:r w:rsidR="001B5FFC">
        <w:rPr>
          <w:rFonts w:cs="Arial"/>
          <w:szCs w:val="20"/>
        </w:rPr>
        <w:t>and #0606</w:t>
      </w:r>
      <w:r w:rsidR="00524D55">
        <w:rPr>
          <w:rFonts w:cs="Arial"/>
          <w:szCs w:val="20"/>
        </w:rPr>
        <w:t xml:space="preserve"> (Ref # 5)</w:t>
      </w:r>
      <w:r w:rsidR="00764085">
        <w:rPr>
          <w:rFonts w:cs="Arial"/>
          <w:szCs w:val="20"/>
        </w:rPr>
        <w:t>.</w:t>
      </w:r>
      <w:r w:rsidR="001B5FFC">
        <w:rPr>
          <w:rFonts w:cs="Arial"/>
          <w:szCs w:val="20"/>
        </w:rPr>
        <w:t xml:space="preserve"> </w:t>
      </w:r>
      <w:r>
        <w:rPr>
          <w:rFonts w:cs="Arial"/>
          <w:szCs w:val="20"/>
        </w:rPr>
        <w:t xml:space="preserve">These studies have all studied reach-in cases (i.e. with glass doors), and all but one have focused on low-temperature rather than medium-temperature cases (i.e. freezers instead of refrigerators).  Even with these limitations, the ET studies provide reliable information on lighting performance, the contribution of refrigeration savings and occupancy sensing savings, and customer satisfaction.  </w:t>
      </w:r>
    </w:p>
    <w:p w:rsidR="00DA0D90" w:rsidRDefault="00DA0D90" w:rsidP="00D937E6">
      <w:pPr>
        <w:autoSpaceDE w:val="0"/>
        <w:autoSpaceDN w:val="0"/>
        <w:adjustRightInd w:val="0"/>
        <w:rPr>
          <w:rFonts w:cs="Arial"/>
          <w:szCs w:val="20"/>
        </w:rPr>
      </w:pPr>
    </w:p>
    <w:p w:rsidR="00DA0D90" w:rsidRPr="00327496" w:rsidRDefault="00327496" w:rsidP="00D937E6">
      <w:pPr>
        <w:autoSpaceDE w:val="0"/>
        <w:autoSpaceDN w:val="0"/>
        <w:adjustRightInd w:val="0"/>
        <w:rPr>
          <w:rFonts w:cs="Arial"/>
          <w:szCs w:val="20"/>
        </w:rPr>
      </w:pPr>
      <w:r>
        <w:rPr>
          <w:rFonts w:cs="Arial"/>
          <w:szCs w:val="20"/>
        </w:rPr>
        <w:t>PG&amp;E’s Emerging Technologies group has establish</w:t>
      </w:r>
      <w:r w:rsidR="00F92D56">
        <w:rPr>
          <w:rFonts w:cs="Arial"/>
          <w:szCs w:val="20"/>
        </w:rPr>
        <w:t xml:space="preserve">ed that nearly half of supermarket electric costs are spent on refrigeration, and that lighting accounts for about 15% of the total energy consumed by commercial refrigerators.  The ET group’s demonstration projects show that LED refrigerated case lighting can lower lighting energy usage, and produce refrigeration savings as well. </w:t>
      </w:r>
    </w:p>
    <w:p w:rsidR="00DA0D90" w:rsidRPr="007E2F99" w:rsidRDefault="00DA0D90" w:rsidP="00DA0D90">
      <w:pPr>
        <w:autoSpaceDE w:val="0"/>
        <w:autoSpaceDN w:val="0"/>
        <w:adjustRightInd w:val="0"/>
        <w:rPr>
          <w:rFonts w:cs="Arial"/>
          <w:szCs w:val="20"/>
        </w:rPr>
      </w:pPr>
      <w:r>
        <w:rPr>
          <w:rFonts w:cs="Arial"/>
          <w:szCs w:val="20"/>
        </w:rPr>
        <w:t xml:space="preserve">Another </w:t>
      </w:r>
      <w:r w:rsidRPr="007E2F99">
        <w:rPr>
          <w:rFonts w:cs="Arial"/>
          <w:szCs w:val="20"/>
        </w:rPr>
        <w:t>gauge of the market potential in LED refrigerated case lighting is the continuing success of the PG&amp;E</w:t>
      </w:r>
      <w:r>
        <w:rPr>
          <w:rFonts w:cs="Arial"/>
          <w:szCs w:val="20"/>
        </w:rPr>
        <w:t>’s ERCO midstream p</w:t>
      </w:r>
      <w:r w:rsidRPr="007E2F99">
        <w:rPr>
          <w:rFonts w:cs="Arial"/>
          <w:szCs w:val="20"/>
        </w:rPr>
        <w:t>rogram, and the vendor and customer feedback in day-to-day Program operations.  To date, the PG&amp;E offerings for re</w:t>
      </w:r>
      <w:r>
        <w:rPr>
          <w:rFonts w:cs="Arial"/>
          <w:szCs w:val="20"/>
        </w:rPr>
        <w:t>frigerated case LED lighting have</w:t>
      </w:r>
      <w:r w:rsidRPr="007E2F99">
        <w:rPr>
          <w:rFonts w:cs="Arial"/>
          <w:szCs w:val="20"/>
        </w:rPr>
        <w:t xml:space="preserve"> focused entirely on vertical cases.  Vendors and customers have relayed that while vertical cases are a good application, additional potential can be found in horizontal case lighting, where multiple lamp profiles are common, particularly for canopy lighting</w:t>
      </w:r>
      <w:r>
        <w:rPr>
          <w:rFonts w:cs="Arial"/>
          <w:szCs w:val="20"/>
        </w:rPr>
        <w:t>.  C</w:t>
      </w:r>
      <w:r w:rsidRPr="007E2F99">
        <w:rPr>
          <w:rFonts w:cs="Arial"/>
          <w:szCs w:val="20"/>
        </w:rPr>
        <w:t xml:space="preserve">urrent </w:t>
      </w:r>
      <w:r>
        <w:rPr>
          <w:rFonts w:cs="Arial"/>
          <w:szCs w:val="20"/>
        </w:rPr>
        <w:t>ERCO participants indicate su</w:t>
      </w:r>
      <w:r w:rsidRPr="007E2F99">
        <w:rPr>
          <w:rFonts w:cs="Arial"/>
          <w:szCs w:val="20"/>
        </w:rPr>
        <w:t xml:space="preserve">pport for </w:t>
      </w:r>
      <w:r>
        <w:rPr>
          <w:rFonts w:cs="Arial"/>
          <w:szCs w:val="20"/>
        </w:rPr>
        <w:t>the expanded measures in this workpaper.</w:t>
      </w:r>
    </w:p>
    <w:p w:rsidR="00D937E6" w:rsidRPr="00327496" w:rsidRDefault="00D937E6" w:rsidP="00D937E6">
      <w:pPr>
        <w:autoSpaceDE w:val="0"/>
        <w:autoSpaceDN w:val="0"/>
        <w:adjustRightInd w:val="0"/>
        <w:rPr>
          <w:rFonts w:cs="Arial"/>
          <w:szCs w:val="20"/>
        </w:rPr>
      </w:pPr>
    </w:p>
    <w:p w:rsidR="00426765" w:rsidRPr="00327496" w:rsidRDefault="00D937E6" w:rsidP="00327496">
      <w:pPr>
        <w:autoSpaceDE w:val="0"/>
        <w:autoSpaceDN w:val="0"/>
        <w:adjustRightInd w:val="0"/>
        <w:rPr>
          <w:rFonts w:cs="Arial"/>
          <w:szCs w:val="20"/>
        </w:rPr>
      </w:pPr>
      <w:r w:rsidRPr="00327496">
        <w:rPr>
          <w:rFonts w:cs="Arial"/>
          <w:szCs w:val="20"/>
        </w:rPr>
        <w:t xml:space="preserve">LED </w:t>
      </w:r>
      <w:r w:rsidR="00426765" w:rsidRPr="00327496">
        <w:rPr>
          <w:rFonts w:cs="Arial"/>
          <w:szCs w:val="20"/>
        </w:rPr>
        <w:t>lighting is a rapidly advancing technology. It is anticipated that on-going improvements</w:t>
      </w:r>
      <w:r w:rsidR="00E9786A">
        <w:rPr>
          <w:rFonts w:cs="Arial"/>
          <w:szCs w:val="20"/>
        </w:rPr>
        <w:t xml:space="preserve"> </w:t>
      </w:r>
      <w:r w:rsidR="00426765" w:rsidRPr="00327496">
        <w:rPr>
          <w:rFonts w:cs="Arial"/>
          <w:szCs w:val="20"/>
        </w:rPr>
        <w:t xml:space="preserve">to LED technology, power supplies, and installation methods will lead to continuing </w:t>
      </w:r>
      <w:r w:rsidR="00E9786A" w:rsidRPr="00E9786A">
        <w:rPr>
          <w:rFonts w:cs="Arial"/>
          <w:szCs w:val="20"/>
        </w:rPr>
        <w:t>price reductions</w:t>
      </w:r>
      <w:r w:rsidR="00426765" w:rsidRPr="00327496">
        <w:rPr>
          <w:rFonts w:cs="Arial"/>
          <w:szCs w:val="20"/>
        </w:rPr>
        <w:t xml:space="preserve"> and </w:t>
      </w:r>
      <w:r w:rsidR="00E9786A">
        <w:rPr>
          <w:rFonts w:cs="Arial"/>
          <w:szCs w:val="20"/>
        </w:rPr>
        <w:t>increases in</w:t>
      </w:r>
      <w:r w:rsidR="00E9786A" w:rsidRPr="00327496">
        <w:rPr>
          <w:rFonts w:cs="Arial"/>
          <w:szCs w:val="20"/>
        </w:rPr>
        <w:t xml:space="preserve"> </w:t>
      </w:r>
      <w:r w:rsidR="00426765" w:rsidRPr="00327496">
        <w:rPr>
          <w:rFonts w:cs="Arial"/>
          <w:szCs w:val="20"/>
        </w:rPr>
        <w:t>energy savings.</w:t>
      </w:r>
    </w:p>
    <w:p w:rsidR="009C5CA7" w:rsidRPr="00E9786A" w:rsidRDefault="001248A3" w:rsidP="00423677">
      <w:pPr>
        <w:pStyle w:val="Heading2"/>
        <w:keepNext w:val="0"/>
      </w:pPr>
      <w:bookmarkStart w:id="34" w:name="_Toc437853351"/>
      <w:r w:rsidRPr="00D705EF">
        <w:t>1.</w:t>
      </w:r>
      <w:r w:rsidR="00264B03" w:rsidRPr="00D705EF">
        <w:t xml:space="preserve">4.4 </w:t>
      </w:r>
      <w:r w:rsidR="009C5CA7" w:rsidRPr="00D705EF">
        <w:t xml:space="preserve">Assumptions and </w:t>
      </w:r>
      <w:r w:rsidR="00264B03" w:rsidRPr="00D705EF">
        <w:t>Calculations from other sources—Base and Measure Case</w:t>
      </w:r>
      <w:r w:rsidR="00264B03" w:rsidRPr="00E9786A">
        <w:t>s</w:t>
      </w:r>
      <w:bookmarkEnd w:id="34"/>
    </w:p>
    <w:p w:rsidR="00A172E6" w:rsidRPr="00E9786A" w:rsidRDefault="00A172E6" w:rsidP="00A172E6">
      <w:pPr>
        <w:rPr>
          <w:rFonts w:cs="Arial"/>
          <w:szCs w:val="20"/>
        </w:rPr>
      </w:pPr>
    </w:p>
    <w:p w:rsidR="000701EB" w:rsidRPr="00777F66" w:rsidRDefault="000701EB" w:rsidP="007E4D1F">
      <w:pPr>
        <w:rPr>
          <w:rFonts w:cs="Arial"/>
          <w:szCs w:val="20"/>
        </w:rPr>
      </w:pPr>
      <w:r w:rsidRPr="00777F66">
        <w:rPr>
          <w:rFonts w:cs="Arial"/>
          <w:b/>
          <w:szCs w:val="20"/>
        </w:rPr>
        <w:t>Energy Savings Assumption (ΔW):</w:t>
      </w:r>
      <w:r w:rsidR="00476B67" w:rsidRPr="00777F66">
        <w:rPr>
          <w:rFonts w:cs="Arial"/>
          <w:szCs w:val="20"/>
        </w:rPr>
        <w:t xml:space="preserve"> </w:t>
      </w:r>
    </w:p>
    <w:p w:rsidR="00896B68" w:rsidRPr="00777F66" w:rsidRDefault="00896B68" w:rsidP="00896B68">
      <w:pPr>
        <w:numPr>
          <w:ilvl w:val="0"/>
          <w:numId w:val="8"/>
        </w:numPr>
        <w:rPr>
          <w:rFonts w:cs="Arial"/>
          <w:szCs w:val="20"/>
        </w:rPr>
      </w:pPr>
      <w:r w:rsidRPr="00777F66">
        <w:rPr>
          <w:rFonts w:cs="Arial"/>
          <w:szCs w:val="20"/>
        </w:rPr>
        <w:t xml:space="preserve">Base case </w:t>
      </w:r>
      <w:r w:rsidR="00A21127" w:rsidRPr="00777F66">
        <w:rPr>
          <w:rFonts w:cs="Arial"/>
          <w:szCs w:val="20"/>
        </w:rPr>
        <w:t xml:space="preserve">wattages </w:t>
      </w:r>
      <w:r w:rsidRPr="00777F66">
        <w:rPr>
          <w:rFonts w:cs="Arial"/>
          <w:szCs w:val="20"/>
        </w:rPr>
        <w:t xml:space="preserve">shown below are </w:t>
      </w:r>
      <w:r w:rsidR="00A21127" w:rsidRPr="00777F66">
        <w:rPr>
          <w:rFonts w:cs="Arial"/>
          <w:szCs w:val="20"/>
        </w:rPr>
        <w:t xml:space="preserve">based on averages </w:t>
      </w:r>
      <w:r w:rsidRPr="00777F66">
        <w:rPr>
          <w:rFonts w:cs="Arial"/>
          <w:szCs w:val="20"/>
        </w:rPr>
        <w:t>from the PG&amp;E 201</w:t>
      </w:r>
      <w:r w:rsidR="00777F66">
        <w:rPr>
          <w:rFonts w:cs="Arial"/>
          <w:szCs w:val="20"/>
        </w:rPr>
        <w:t>3-2014</w:t>
      </w:r>
      <w:r w:rsidRPr="00777F66">
        <w:rPr>
          <w:rFonts w:cs="Arial"/>
          <w:szCs w:val="20"/>
        </w:rPr>
        <w:t xml:space="preserve"> Appendix B Table of Standard Lighting Wattages.</w:t>
      </w:r>
      <w:r w:rsidR="00F92D56" w:rsidRPr="00777F66">
        <w:rPr>
          <w:rStyle w:val="EndnoteReference"/>
          <w:rFonts w:cs="Arial"/>
          <w:szCs w:val="20"/>
        </w:rPr>
        <w:endnoteReference w:id="9"/>
      </w:r>
      <w:r w:rsidR="00A21127" w:rsidRPr="00777F66">
        <w:rPr>
          <w:rFonts w:cs="Arial"/>
          <w:szCs w:val="20"/>
        </w:rPr>
        <w:t xml:space="preserve"> </w:t>
      </w:r>
      <w:r w:rsidR="00DA0D90" w:rsidRPr="00777F66">
        <w:rPr>
          <w:rFonts w:cs="Arial"/>
          <w:szCs w:val="20"/>
        </w:rPr>
        <w:t>A</w:t>
      </w:r>
      <w:r w:rsidR="00A21127" w:rsidRPr="00777F66">
        <w:rPr>
          <w:rFonts w:cs="Arial"/>
          <w:szCs w:val="20"/>
        </w:rPr>
        <w:t xml:space="preserve">ll </w:t>
      </w:r>
      <w:r w:rsidR="00DA0D90" w:rsidRPr="00777F66">
        <w:rPr>
          <w:rFonts w:cs="Arial"/>
          <w:szCs w:val="20"/>
        </w:rPr>
        <w:t xml:space="preserve">lightbars </w:t>
      </w:r>
      <w:r w:rsidR="00A21127" w:rsidRPr="00777F66">
        <w:rPr>
          <w:rFonts w:cs="Arial"/>
          <w:szCs w:val="20"/>
        </w:rPr>
        <w:t xml:space="preserve">5 feet and shorter </w:t>
      </w:r>
      <w:r w:rsidR="00DA0D90" w:rsidRPr="00777F66">
        <w:rPr>
          <w:rFonts w:cs="Arial"/>
          <w:szCs w:val="20"/>
        </w:rPr>
        <w:t xml:space="preserve">are calculated with a base case of </w:t>
      </w:r>
      <w:r w:rsidR="001D5D58" w:rsidRPr="00777F66">
        <w:rPr>
          <w:rFonts w:cs="Arial"/>
          <w:szCs w:val="20"/>
        </w:rPr>
        <w:t>T8 lamps and</w:t>
      </w:r>
      <w:r w:rsidR="00A21127" w:rsidRPr="00777F66">
        <w:rPr>
          <w:rFonts w:cs="Arial"/>
          <w:szCs w:val="20"/>
        </w:rPr>
        <w:t xml:space="preserve"> normal ballast factor, standard efficiency ballasts.  6 foot fixtures are </w:t>
      </w:r>
      <w:r w:rsidR="00DA0D90" w:rsidRPr="00777F66">
        <w:rPr>
          <w:rFonts w:cs="Arial"/>
          <w:szCs w:val="20"/>
        </w:rPr>
        <w:t>calculated with a base case of</w:t>
      </w:r>
      <w:r w:rsidR="00A21127" w:rsidRPr="00777F66">
        <w:rPr>
          <w:rFonts w:cs="Arial"/>
          <w:szCs w:val="20"/>
        </w:rPr>
        <w:t xml:space="preserve"> T12 lamps</w:t>
      </w:r>
      <w:r w:rsidR="00DA0D90" w:rsidRPr="00777F66">
        <w:rPr>
          <w:rFonts w:cs="Arial"/>
          <w:szCs w:val="20"/>
        </w:rPr>
        <w:t xml:space="preserve">. Base case </w:t>
      </w:r>
      <w:r w:rsidR="00A21127" w:rsidRPr="00777F66">
        <w:rPr>
          <w:rFonts w:cs="Arial"/>
          <w:szCs w:val="20"/>
        </w:rPr>
        <w:t>wattage</w:t>
      </w:r>
      <w:r w:rsidR="00DA0D90" w:rsidRPr="00777F66">
        <w:rPr>
          <w:rFonts w:cs="Arial"/>
          <w:szCs w:val="20"/>
        </w:rPr>
        <w:t>s are</w:t>
      </w:r>
      <w:r w:rsidR="00A21127" w:rsidRPr="00777F66">
        <w:rPr>
          <w:rFonts w:cs="Arial"/>
          <w:szCs w:val="20"/>
        </w:rPr>
        <w:t xml:space="preserve"> an average of Appendix B listings for T12</w:t>
      </w:r>
      <w:r w:rsidR="00DA0D90" w:rsidRPr="00777F66">
        <w:rPr>
          <w:rFonts w:cs="Arial"/>
          <w:szCs w:val="20"/>
        </w:rPr>
        <w:t>HO</w:t>
      </w:r>
      <w:r w:rsidR="00A21127" w:rsidRPr="00777F66">
        <w:rPr>
          <w:rFonts w:cs="Arial"/>
          <w:szCs w:val="20"/>
        </w:rPr>
        <w:t xml:space="preserve"> lamp/ballast combinations for that length.</w:t>
      </w:r>
    </w:p>
    <w:p w:rsidR="00A21127" w:rsidRPr="00777F66" w:rsidRDefault="00A21127" w:rsidP="00896B68">
      <w:pPr>
        <w:numPr>
          <w:ilvl w:val="0"/>
          <w:numId w:val="8"/>
        </w:numPr>
        <w:rPr>
          <w:rFonts w:cs="Arial"/>
          <w:szCs w:val="20"/>
        </w:rPr>
      </w:pPr>
      <w:r w:rsidRPr="00777F66">
        <w:rPr>
          <w:rFonts w:cs="Arial"/>
          <w:szCs w:val="20"/>
        </w:rPr>
        <w:t>Measure case wattage</w:t>
      </w:r>
      <w:r w:rsidR="00F515D1" w:rsidRPr="00777F66">
        <w:rPr>
          <w:rFonts w:cs="Arial"/>
          <w:szCs w:val="20"/>
        </w:rPr>
        <w:t xml:space="preserve">s are based on the maximum allowable per-foot wattages </w:t>
      </w:r>
      <w:r w:rsidR="003071BF" w:rsidRPr="00777F66">
        <w:rPr>
          <w:rFonts w:cs="Arial"/>
          <w:szCs w:val="20"/>
        </w:rPr>
        <w:t>for</w:t>
      </w:r>
      <w:r w:rsidR="00F515D1" w:rsidRPr="00777F66">
        <w:rPr>
          <w:rFonts w:cs="Arial"/>
          <w:szCs w:val="20"/>
        </w:rPr>
        <w:t xml:space="preserve"> Tiers 1 through 4</w:t>
      </w:r>
      <w:r w:rsidR="003071BF" w:rsidRPr="00777F66">
        <w:rPr>
          <w:rFonts w:cs="Arial"/>
          <w:szCs w:val="20"/>
        </w:rPr>
        <w:t xml:space="preserve">.  </w:t>
      </w:r>
      <w:r w:rsidRPr="00777F66">
        <w:rPr>
          <w:rFonts w:cs="Arial"/>
          <w:szCs w:val="20"/>
        </w:rPr>
        <w:t xml:space="preserve"> </w:t>
      </w:r>
      <w:r w:rsidR="003071BF" w:rsidRPr="00777F66">
        <w:rPr>
          <w:rFonts w:cs="Arial"/>
          <w:szCs w:val="20"/>
        </w:rPr>
        <w:t>Wattages for product qualification are taken from the Design Lights Consortium lists.</w:t>
      </w:r>
      <w:r w:rsidR="001432BC" w:rsidRPr="00777F66">
        <w:rPr>
          <w:rFonts w:cs="Arial"/>
          <w:szCs w:val="20"/>
        </w:rPr>
        <w:t xml:space="preserve"> </w:t>
      </w:r>
      <w:r w:rsidR="00F515D1" w:rsidRPr="00777F66">
        <w:rPr>
          <w:rFonts w:cs="Arial"/>
          <w:szCs w:val="20"/>
        </w:rPr>
        <w:t xml:space="preserve">Measure </w:t>
      </w:r>
      <w:r w:rsidR="001432BC" w:rsidRPr="00777F66">
        <w:rPr>
          <w:rFonts w:cs="Arial"/>
          <w:szCs w:val="20"/>
        </w:rPr>
        <w:t>length</w:t>
      </w:r>
      <w:r w:rsidR="00F515D1" w:rsidRPr="00777F66">
        <w:rPr>
          <w:rFonts w:cs="Arial"/>
          <w:szCs w:val="20"/>
        </w:rPr>
        <w:t>s are in whole feet only, and actual LED lightbar lengths are often slightly shorter than the</w:t>
      </w:r>
      <w:r w:rsidR="001432BC" w:rsidRPr="00777F66">
        <w:rPr>
          <w:rFonts w:cs="Arial"/>
          <w:szCs w:val="20"/>
        </w:rPr>
        <w:t xml:space="preserve"> length of </w:t>
      </w:r>
      <w:r w:rsidR="003071BF" w:rsidRPr="00777F66">
        <w:rPr>
          <w:rFonts w:cs="Arial"/>
          <w:szCs w:val="20"/>
        </w:rPr>
        <w:t>fluorescent lamp being replaced</w:t>
      </w:r>
      <w:r w:rsidR="00F515D1" w:rsidRPr="00777F66">
        <w:rPr>
          <w:rFonts w:cs="Arial"/>
          <w:szCs w:val="20"/>
        </w:rPr>
        <w:t>.  The measure quantity, in linear feet, is determined by the original fluorescent lamp length, and the LED lightbar may be as much as 2 inches longer or 10 inches shorter than the original fluorescent lamp.</w:t>
      </w:r>
    </w:p>
    <w:p w:rsidR="001D5D58" w:rsidRPr="00777F66" w:rsidRDefault="001D5D58" w:rsidP="001D5D58">
      <w:pPr>
        <w:numPr>
          <w:ilvl w:val="0"/>
          <w:numId w:val="8"/>
        </w:numPr>
        <w:rPr>
          <w:rFonts w:cs="Arial"/>
          <w:szCs w:val="20"/>
        </w:rPr>
      </w:pPr>
      <w:r w:rsidRPr="00777F66">
        <w:rPr>
          <w:rFonts w:cs="Arial"/>
          <w:szCs w:val="20"/>
        </w:rPr>
        <w:t xml:space="preserve">The methodology for calculating the annual electrical energy savings from both lighting and refrigeration, in kWh/year, </w:t>
      </w:r>
      <w:r w:rsidR="00F515D1" w:rsidRPr="00777F66">
        <w:rPr>
          <w:rFonts w:cs="Arial"/>
          <w:szCs w:val="20"/>
        </w:rPr>
        <w:t>is</w:t>
      </w:r>
      <w:r w:rsidRPr="00777F66">
        <w:rPr>
          <w:rFonts w:cs="Arial"/>
          <w:szCs w:val="20"/>
        </w:rPr>
        <w:t xml:space="preserve"> explained in section 2.1.  </w:t>
      </w:r>
    </w:p>
    <w:p w:rsidR="001D5D58" w:rsidRPr="00777F66" w:rsidRDefault="001D5D58" w:rsidP="001D5D58">
      <w:pPr>
        <w:numPr>
          <w:ilvl w:val="0"/>
          <w:numId w:val="8"/>
        </w:numPr>
        <w:rPr>
          <w:rFonts w:cs="Arial"/>
          <w:szCs w:val="20"/>
        </w:rPr>
      </w:pPr>
      <w:r w:rsidRPr="00777F66">
        <w:rPr>
          <w:rFonts w:cs="Arial"/>
          <w:szCs w:val="20"/>
        </w:rPr>
        <w:t xml:space="preserve">SCE’s emerging technology demonstration showed that with occupancy sensing in aisles with refrigerated display case lights, measured demand reduction is generally only 5-10% during peak periods as a result of high customer traffic. Therefore, no additional peak demand reduction is claimed for this measure.   </w:t>
      </w:r>
    </w:p>
    <w:p w:rsidR="009B0848" w:rsidRPr="00777F66" w:rsidRDefault="00AF3481" w:rsidP="001D5D58">
      <w:pPr>
        <w:numPr>
          <w:ilvl w:val="0"/>
          <w:numId w:val="8"/>
        </w:numPr>
        <w:rPr>
          <w:rFonts w:cs="Arial"/>
          <w:szCs w:val="20"/>
        </w:rPr>
      </w:pPr>
      <w:r w:rsidRPr="00777F66">
        <w:rPr>
          <w:rFonts w:cs="Arial"/>
          <w:szCs w:val="20"/>
        </w:rPr>
        <w:t xml:space="preserve">Because Grocery (GRO) is the dominant building type for these measures, the default Com building type will use the Operating hours and interactive effects assumptions from the GRO building type.  Any Upstream savings calculated using the Com default building type will be based on GRO operating hours.  </w:t>
      </w:r>
    </w:p>
    <w:p w:rsidR="000701EB" w:rsidRPr="002B583E" w:rsidRDefault="000701EB" w:rsidP="004203DD">
      <w:pPr>
        <w:keepNext/>
        <w:keepLines/>
        <w:rPr>
          <w:rFonts w:cs="Arial"/>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1260"/>
        <w:gridCol w:w="1170"/>
        <w:gridCol w:w="1620"/>
        <w:gridCol w:w="1170"/>
        <w:gridCol w:w="3060"/>
      </w:tblGrid>
      <w:tr w:rsidR="008346D1" w:rsidRPr="00777F66" w:rsidTr="008346D1">
        <w:tc>
          <w:tcPr>
            <w:tcW w:w="1188" w:type="dxa"/>
            <w:shd w:val="clear" w:color="auto" w:fill="auto"/>
          </w:tcPr>
          <w:p w:rsidR="008346D1" w:rsidRPr="00777F66" w:rsidRDefault="008346D1" w:rsidP="004203DD">
            <w:pPr>
              <w:keepNext/>
              <w:keepLines/>
              <w:rPr>
                <w:rFonts w:cs="Arial"/>
                <w:b/>
                <w:szCs w:val="20"/>
              </w:rPr>
            </w:pPr>
            <w:r w:rsidRPr="00777F66">
              <w:rPr>
                <w:rFonts w:cs="Arial"/>
                <w:b/>
                <w:szCs w:val="20"/>
              </w:rPr>
              <w:t xml:space="preserve">Building type </w:t>
            </w:r>
          </w:p>
        </w:tc>
        <w:tc>
          <w:tcPr>
            <w:tcW w:w="1260" w:type="dxa"/>
            <w:shd w:val="clear" w:color="auto" w:fill="auto"/>
          </w:tcPr>
          <w:p w:rsidR="008346D1" w:rsidRPr="00777F66" w:rsidRDefault="008346D1" w:rsidP="004203DD">
            <w:pPr>
              <w:keepNext/>
              <w:keepLines/>
              <w:rPr>
                <w:rFonts w:cs="Arial"/>
                <w:b/>
                <w:szCs w:val="20"/>
              </w:rPr>
            </w:pPr>
            <w:r w:rsidRPr="00777F66">
              <w:rPr>
                <w:rFonts w:cs="Arial"/>
                <w:b/>
                <w:szCs w:val="20"/>
              </w:rPr>
              <w:t xml:space="preserve">Bldg Vintage </w:t>
            </w:r>
          </w:p>
        </w:tc>
        <w:tc>
          <w:tcPr>
            <w:tcW w:w="1170" w:type="dxa"/>
            <w:shd w:val="clear" w:color="auto" w:fill="auto"/>
          </w:tcPr>
          <w:p w:rsidR="008346D1" w:rsidRPr="00777F66" w:rsidRDefault="008346D1" w:rsidP="004203DD">
            <w:pPr>
              <w:keepNext/>
              <w:keepLines/>
              <w:rPr>
                <w:rFonts w:cs="Arial"/>
                <w:b/>
                <w:szCs w:val="20"/>
              </w:rPr>
            </w:pPr>
            <w:r w:rsidRPr="00777F66">
              <w:rPr>
                <w:rFonts w:cs="Arial"/>
                <w:b/>
                <w:szCs w:val="20"/>
              </w:rPr>
              <w:t xml:space="preserve">Climate Zone </w:t>
            </w:r>
          </w:p>
        </w:tc>
        <w:tc>
          <w:tcPr>
            <w:tcW w:w="1620" w:type="dxa"/>
            <w:shd w:val="clear" w:color="auto" w:fill="auto"/>
          </w:tcPr>
          <w:p w:rsidR="008346D1" w:rsidRPr="00777F66" w:rsidRDefault="008346D1" w:rsidP="004203DD">
            <w:pPr>
              <w:keepNext/>
              <w:keepLines/>
              <w:rPr>
                <w:rFonts w:cs="Arial"/>
                <w:b/>
                <w:szCs w:val="20"/>
              </w:rPr>
            </w:pPr>
            <w:r w:rsidRPr="00777F66">
              <w:rPr>
                <w:rFonts w:cs="Arial"/>
                <w:b/>
                <w:szCs w:val="20"/>
              </w:rPr>
              <w:t xml:space="preserve">Electric Savings Watts </w:t>
            </w:r>
          </w:p>
        </w:tc>
        <w:tc>
          <w:tcPr>
            <w:tcW w:w="1170" w:type="dxa"/>
            <w:shd w:val="clear" w:color="auto" w:fill="auto"/>
          </w:tcPr>
          <w:p w:rsidR="008346D1" w:rsidRPr="00777F66" w:rsidRDefault="008346D1" w:rsidP="004203DD">
            <w:pPr>
              <w:keepNext/>
              <w:keepLines/>
              <w:rPr>
                <w:rFonts w:cs="Arial"/>
                <w:b/>
                <w:szCs w:val="20"/>
              </w:rPr>
            </w:pPr>
            <w:r w:rsidRPr="00777F66">
              <w:rPr>
                <w:rFonts w:cs="Arial"/>
                <w:b/>
                <w:szCs w:val="20"/>
              </w:rPr>
              <w:t>Savings units</w:t>
            </w:r>
          </w:p>
        </w:tc>
        <w:tc>
          <w:tcPr>
            <w:tcW w:w="3060" w:type="dxa"/>
            <w:shd w:val="clear" w:color="auto" w:fill="auto"/>
          </w:tcPr>
          <w:p w:rsidR="008346D1" w:rsidRPr="00777F66" w:rsidRDefault="008346D1" w:rsidP="004203DD">
            <w:pPr>
              <w:keepNext/>
              <w:keepLines/>
              <w:rPr>
                <w:rFonts w:cs="Arial"/>
                <w:b/>
                <w:szCs w:val="20"/>
              </w:rPr>
            </w:pPr>
            <w:r w:rsidRPr="00777F66">
              <w:rPr>
                <w:rFonts w:cs="Arial"/>
                <w:b/>
                <w:szCs w:val="20"/>
              </w:rPr>
              <w:t>Reference</w:t>
            </w:r>
          </w:p>
        </w:tc>
      </w:tr>
      <w:tr w:rsidR="008346D1" w:rsidRPr="00777F66" w:rsidTr="008346D1">
        <w:tc>
          <w:tcPr>
            <w:tcW w:w="1188" w:type="dxa"/>
            <w:shd w:val="clear" w:color="auto" w:fill="auto"/>
          </w:tcPr>
          <w:p w:rsidR="008346D1" w:rsidRPr="00777F66" w:rsidRDefault="00CD0D11" w:rsidP="004203DD">
            <w:pPr>
              <w:keepNext/>
              <w:keepLines/>
              <w:rPr>
                <w:rFonts w:cs="Arial"/>
                <w:szCs w:val="20"/>
              </w:rPr>
            </w:pPr>
            <w:r w:rsidRPr="00777F66">
              <w:rPr>
                <w:rFonts w:cs="Arial"/>
                <w:szCs w:val="20"/>
              </w:rPr>
              <w:t>Varies – all Non-Res types</w:t>
            </w:r>
          </w:p>
        </w:tc>
        <w:tc>
          <w:tcPr>
            <w:tcW w:w="1260" w:type="dxa"/>
            <w:shd w:val="clear" w:color="auto" w:fill="auto"/>
          </w:tcPr>
          <w:p w:rsidR="008346D1" w:rsidRPr="00777F66" w:rsidRDefault="00EE6954" w:rsidP="004203DD">
            <w:pPr>
              <w:keepNext/>
              <w:keepLines/>
              <w:rPr>
                <w:rFonts w:cs="Arial"/>
                <w:szCs w:val="20"/>
              </w:rPr>
            </w:pPr>
            <w:r w:rsidRPr="00777F66">
              <w:rPr>
                <w:rFonts w:cs="Arial"/>
                <w:szCs w:val="20"/>
              </w:rPr>
              <w:t>AV</w:t>
            </w:r>
          </w:p>
        </w:tc>
        <w:tc>
          <w:tcPr>
            <w:tcW w:w="1170" w:type="dxa"/>
            <w:shd w:val="clear" w:color="auto" w:fill="auto"/>
          </w:tcPr>
          <w:p w:rsidR="008346D1" w:rsidRPr="00777F66" w:rsidRDefault="008346D1" w:rsidP="004203DD">
            <w:pPr>
              <w:keepNext/>
              <w:keepLines/>
              <w:rPr>
                <w:rFonts w:cs="Arial"/>
                <w:szCs w:val="20"/>
              </w:rPr>
            </w:pPr>
            <w:r w:rsidRPr="00777F66">
              <w:rPr>
                <w:rFonts w:cs="Arial"/>
                <w:szCs w:val="20"/>
              </w:rPr>
              <w:t>All</w:t>
            </w:r>
          </w:p>
        </w:tc>
        <w:tc>
          <w:tcPr>
            <w:tcW w:w="1620" w:type="dxa"/>
            <w:shd w:val="clear" w:color="auto" w:fill="auto"/>
          </w:tcPr>
          <w:p w:rsidR="008346D1" w:rsidRPr="00777F66" w:rsidRDefault="008346D1" w:rsidP="004203DD">
            <w:pPr>
              <w:keepNext/>
              <w:keepLines/>
              <w:rPr>
                <w:rFonts w:cs="Arial"/>
                <w:szCs w:val="20"/>
              </w:rPr>
            </w:pPr>
            <w:r w:rsidRPr="00777F66">
              <w:rPr>
                <w:rFonts w:cs="Arial"/>
                <w:szCs w:val="20"/>
              </w:rPr>
              <w:t>Varies</w:t>
            </w:r>
          </w:p>
        </w:tc>
        <w:tc>
          <w:tcPr>
            <w:tcW w:w="1170" w:type="dxa"/>
            <w:shd w:val="clear" w:color="auto" w:fill="auto"/>
          </w:tcPr>
          <w:p w:rsidR="008346D1" w:rsidRPr="00777F66" w:rsidRDefault="008346D1" w:rsidP="004203DD">
            <w:pPr>
              <w:keepNext/>
              <w:keepLines/>
              <w:rPr>
                <w:rFonts w:cs="Arial"/>
                <w:szCs w:val="20"/>
              </w:rPr>
            </w:pPr>
            <w:r w:rsidRPr="00777F66">
              <w:rPr>
                <w:rFonts w:cs="Arial"/>
                <w:szCs w:val="20"/>
              </w:rPr>
              <w:t>W</w:t>
            </w:r>
            <w:r w:rsidR="00EE6954" w:rsidRPr="00777F66">
              <w:rPr>
                <w:rFonts w:cs="Arial"/>
                <w:szCs w:val="20"/>
              </w:rPr>
              <w:t>atts</w:t>
            </w:r>
          </w:p>
        </w:tc>
        <w:tc>
          <w:tcPr>
            <w:tcW w:w="3060" w:type="dxa"/>
            <w:shd w:val="clear" w:color="auto" w:fill="auto"/>
          </w:tcPr>
          <w:p w:rsidR="008346D1" w:rsidRPr="00777F66" w:rsidRDefault="00CD0D11" w:rsidP="003071BF">
            <w:pPr>
              <w:keepNext/>
              <w:keepLines/>
              <w:rPr>
                <w:rFonts w:cs="Arial"/>
                <w:szCs w:val="20"/>
              </w:rPr>
            </w:pPr>
            <w:r w:rsidRPr="00777F66">
              <w:rPr>
                <w:rFonts w:cs="Arial"/>
                <w:szCs w:val="20"/>
              </w:rPr>
              <w:t>Appendix B</w:t>
            </w:r>
            <w:r w:rsidR="00A9289E" w:rsidRPr="00777F66">
              <w:rPr>
                <w:rFonts w:cs="Arial"/>
                <w:szCs w:val="20"/>
              </w:rPr>
              <w:t>,</w:t>
            </w:r>
            <w:r w:rsidR="003071BF" w:rsidRPr="00777F66">
              <w:rPr>
                <w:rFonts w:cs="Arial"/>
                <w:szCs w:val="20"/>
              </w:rPr>
              <w:t xml:space="preserve"> Manufacturer</w:t>
            </w:r>
            <w:r w:rsidR="00856D49" w:rsidRPr="00777F66">
              <w:rPr>
                <w:rFonts w:cs="Arial"/>
                <w:szCs w:val="20"/>
              </w:rPr>
              <w:t xml:space="preserve"> </w:t>
            </w:r>
            <w:r w:rsidR="003071BF" w:rsidRPr="00777F66">
              <w:rPr>
                <w:rFonts w:cs="Arial"/>
                <w:szCs w:val="20"/>
              </w:rPr>
              <w:t>&amp; Vendor Data, ET Case Studies and</w:t>
            </w:r>
            <w:r w:rsidR="008346D1" w:rsidRPr="00777F66">
              <w:rPr>
                <w:rFonts w:cs="Arial"/>
                <w:szCs w:val="20"/>
              </w:rPr>
              <w:t xml:space="preserve"> PG&amp;E calculations</w:t>
            </w:r>
          </w:p>
        </w:tc>
      </w:tr>
    </w:tbl>
    <w:p w:rsidR="000701EB" w:rsidRPr="00777F66" w:rsidRDefault="000701EB" w:rsidP="000701EB">
      <w:pPr>
        <w:rPr>
          <w:rFonts w:cs="Arial"/>
          <w:b/>
          <w:szCs w:val="20"/>
        </w:rPr>
      </w:pPr>
    </w:p>
    <w:p w:rsidR="000701EB" w:rsidRPr="00777F66" w:rsidRDefault="000701EB" w:rsidP="009C5CA7">
      <w:pPr>
        <w:rPr>
          <w:rFonts w:cs="Arial"/>
          <w:b/>
          <w:i/>
          <w:szCs w:val="20"/>
        </w:rPr>
      </w:pPr>
    </w:p>
    <w:p w:rsidR="00B42C54" w:rsidRPr="00777F66" w:rsidRDefault="009E7DCD" w:rsidP="00B42C54">
      <w:pPr>
        <w:rPr>
          <w:rFonts w:cs="Arial"/>
          <w:i/>
        </w:rPr>
      </w:pPr>
      <w:r w:rsidRPr="00777F66">
        <w:rPr>
          <w:rFonts w:cs="Arial"/>
          <w:b/>
        </w:rPr>
        <w:t>Base Case Costs and Measure Case Costs</w:t>
      </w:r>
      <w:r w:rsidR="00B42C54" w:rsidRPr="00777F66">
        <w:rPr>
          <w:rFonts w:cs="Arial"/>
          <w:b/>
        </w:rPr>
        <w:t>:</w:t>
      </w:r>
    </w:p>
    <w:p w:rsidR="00B42C54" w:rsidRPr="00777F66" w:rsidRDefault="00A9289E" w:rsidP="00A9289E">
      <w:pPr>
        <w:numPr>
          <w:ilvl w:val="0"/>
          <w:numId w:val="11"/>
        </w:numPr>
        <w:rPr>
          <w:rFonts w:cs="Arial"/>
          <w:szCs w:val="20"/>
        </w:rPr>
      </w:pPr>
      <w:r w:rsidRPr="00777F66">
        <w:rPr>
          <w:rFonts w:cs="Arial"/>
          <w:szCs w:val="20"/>
        </w:rPr>
        <w:t xml:space="preserve">Estimated fixture costs are based on an extensive survey of </w:t>
      </w:r>
      <w:r w:rsidR="001D5D58" w:rsidRPr="00777F66">
        <w:rPr>
          <w:rFonts w:cs="Arial"/>
          <w:szCs w:val="20"/>
        </w:rPr>
        <w:t>vendors from 2011.</w:t>
      </w:r>
      <w:r w:rsidRPr="00777F66">
        <w:rPr>
          <w:rFonts w:cs="Arial"/>
          <w:szCs w:val="20"/>
        </w:rPr>
        <w:t xml:space="preserve">  While the costs shown incorporate the best information available, vendors described significant differences in mark-up practices.  It can be assumed that equipment costs may vary greatly, influenced by the sales channel</w:t>
      </w:r>
      <w:r w:rsidR="002630B2" w:rsidRPr="00777F66">
        <w:rPr>
          <w:rFonts w:cs="Arial"/>
          <w:szCs w:val="20"/>
        </w:rPr>
        <w:t xml:space="preserve"> and the manufacturer</w:t>
      </w:r>
      <w:r w:rsidRPr="00777F66">
        <w:rPr>
          <w:rFonts w:cs="Arial"/>
          <w:szCs w:val="20"/>
        </w:rPr>
        <w:t>.</w:t>
      </w:r>
    </w:p>
    <w:p w:rsidR="00B42C54" w:rsidRPr="00777F66" w:rsidRDefault="00B42C54" w:rsidP="004203DD">
      <w:pPr>
        <w:keepNext/>
        <w:keepLines/>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1"/>
        <w:gridCol w:w="939"/>
        <w:gridCol w:w="1396"/>
        <w:gridCol w:w="1615"/>
        <w:gridCol w:w="1255"/>
        <w:gridCol w:w="2176"/>
      </w:tblGrid>
      <w:tr w:rsidR="00BA22F7" w:rsidRPr="00777F66" w:rsidTr="00BA22F7">
        <w:tc>
          <w:tcPr>
            <w:tcW w:w="1016" w:type="dxa"/>
            <w:shd w:val="clear" w:color="auto" w:fill="auto"/>
          </w:tcPr>
          <w:p w:rsidR="00BA22F7" w:rsidRPr="00777F66" w:rsidRDefault="00BA22F7" w:rsidP="004203DD">
            <w:pPr>
              <w:keepNext/>
              <w:keepLines/>
              <w:rPr>
                <w:rFonts w:cs="Arial"/>
                <w:b/>
                <w:szCs w:val="20"/>
              </w:rPr>
            </w:pPr>
          </w:p>
        </w:tc>
        <w:tc>
          <w:tcPr>
            <w:tcW w:w="1071" w:type="dxa"/>
            <w:shd w:val="clear" w:color="auto" w:fill="auto"/>
          </w:tcPr>
          <w:p w:rsidR="00BA22F7" w:rsidRPr="00777F66" w:rsidRDefault="00BA22F7" w:rsidP="004203DD">
            <w:pPr>
              <w:keepNext/>
              <w:keepLines/>
              <w:rPr>
                <w:rFonts w:cs="Arial"/>
                <w:b/>
                <w:szCs w:val="20"/>
              </w:rPr>
            </w:pPr>
          </w:p>
        </w:tc>
        <w:tc>
          <w:tcPr>
            <w:tcW w:w="939" w:type="dxa"/>
            <w:shd w:val="clear" w:color="auto" w:fill="auto"/>
          </w:tcPr>
          <w:p w:rsidR="00BA22F7" w:rsidRPr="00777F66" w:rsidRDefault="00BA22F7" w:rsidP="004203DD">
            <w:pPr>
              <w:keepNext/>
              <w:keepLines/>
              <w:rPr>
                <w:rFonts w:cs="Arial"/>
                <w:b/>
                <w:szCs w:val="20"/>
              </w:rPr>
            </w:pPr>
          </w:p>
        </w:tc>
        <w:tc>
          <w:tcPr>
            <w:tcW w:w="4266" w:type="dxa"/>
            <w:gridSpan w:val="3"/>
            <w:shd w:val="clear" w:color="auto" w:fill="auto"/>
          </w:tcPr>
          <w:p w:rsidR="00BA22F7" w:rsidRPr="00777F66" w:rsidRDefault="00BA22F7" w:rsidP="004203DD">
            <w:pPr>
              <w:keepNext/>
              <w:keepLines/>
              <w:jc w:val="center"/>
              <w:rPr>
                <w:rFonts w:cs="Arial"/>
                <w:b/>
                <w:szCs w:val="20"/>
              </w:rPr>
            </w:pPr>
            <w:r w:rsidRPr="00777F66">
              <w:rPr>
                <w:rFonts w:cs="Arial"/>
                <w:b/>
                <w:szCs w:val="20"/>
              </w:rPr>
              <w:t>Costs ($)</w:t>
            </w:r>
          </w:p>
        </w:tc>
        <w:tc>
          <w:tcPr>
            <w:tcW w:w="2176" w:type="dxa"/>
            <w:shd w:val="clear" w:color="auto" w:fill="auto"/>
          </w:tcPr>
          <w:p w:rsidR="00BA22F7" w:rsidRPr="00777F66" w:rsidRDefault="00BA22F7" w:rsidP="004203DD">
            <w:pPr>
              <w:keepNext/>
              <w:keepLines/>
              <w:rPr>
                <w:rFonts w:cs="Arial"/>
                <w:b/>
                <w:szCs w:val="20"/>
              </w:rPr>
            </w:pPr>
          </w:p>
        </w:tc>
      </w:tr>
      <w:tr w:rsidR="00BA22F7" w:rsidRPr="00777F66" w:rsidTr="00BA22F7">
        <w:tc>
          <w:tcPr>
            <w:tcW w:w="1016" w:type="dxa"/>
            <w:shd w:val="clear" w:color="auto" w:fill="auto"/>
          </w:tcPr>
          <w:p w:rsidR="00BA22F7" w:rsidRPr="00777F66" w:rsidRDefault="00BA22F7" w:rsidP="004203DD">
            <w:pPr>
              <w:keepNext/>
              <w:keepLines/>
              <w:rPr>
                <w:rFonts w:cs="Arial"/>
                <w:b/>
                <w:szCs w:val="20"/>
              </w:rPr>
            </w:pPr>
            <w:r w:rsidRPr="00777F66">
              <w:rPr>
                <w:rFonts w:cs="Arial"/>
                <w:b/>
                <w:szCs w:val="20"/>
              </w:rPr>
              <w:t xml:space="preserve">Building type </w:t>
            </w:r>
          </w:p>
        </w:tc>
        <w:tc>
          <w:tcPr>
            <w:tcW w:w="1071" w:type="dxa"/>
            <w:shd w:val="clear" w:color="auto" w:fill="auto"/>
          </w:tcPr>
          <w:p w:rsidR="00BA22F7" w:rsidRPr="00777F66" w:rsidRDefault="00BA22F7" w:rsidP="004203DD">
            <w:pPr>
              <w:keepNext/>
              <w:keepLines/>
              <w:rPr>
                <w:rFonts w:cs="Arial"/>
                <w:b/>
                <w:szCs w:val="20"/>
              </w:rPr>
            </w:pPr>
            <w:r w:rsidRPr="00777F66">
              <w:rPr>
                <w:rFonts w:cs="Arial"/>
                <w:b/>
                <w:szCs w:val="20"/>
              </w:rPr>
              <w:t xml:space="preserve">Bldg Vintage </w:t>
            </w:r>
          </w:p>
        </w:tc>
        <w:tc>
          <w:tcPr>
            <w:tcW w:w="939" w:type="dxa"/>
            <w:shd w:val="clear" w:color="auto" w:fill="auto"/>
          </w:tcPr>
          <w:p w:rsidR="00BA22F7" w:rsidRPr="00777F66" w:rsidRDefault="00BA22F7" w:rsidP="004203DD">
            <w:pPr>
              <w:keepNext/>
              <w:keepLines/>
              <w:rPr>
                <w:rFonts w:cs="Arial"/>
                <w:b/>
                <w:szCs w:val="20"/>
              </w:rPr>
            </w:pPr>
            <w:r w:rsidRPr="00777F66">
              <w:rPr>
                <w:rFonts w:cs="Arial"/>
                <w:b/>
                <w:szCs w:val="20"/>
              </w:rPr>
              <w:t xml:space="preserve">Climate Zone </w:t>
            </w:r>
          </w:p>
        </w:tc>
        <w:tc>
          <w:tcPr>
            <w:tcW w:w="1396" w:type="dxa"/>
            <w:shd w:val="clear" w:color="auto" w:fill="auto"/>
          </w:tcPr>
          <w:p w:rsidR="00BA22F7" w:rsidRPr="00777F66" w:rsidRDefault="00BA22F7" w:rsidP="004203DD">
            <w:pPr>
              <w:keepNext/>
              <w:keepLines/>
              <w:rPr>
                <w:rFonts w:cs="Arial"/>
                <w:b/>
                <w:szCs w:val="20"/>
              </w:rPr>
            </w:pPr>
            <w:r w:rsidRPr="00777F66">
              <w:rPr>
                <w:rFonts w:cs="Arial"/>
                <w:b/>
                <w:szCs w:val="20"/>
              </w:rPr>
              <w:t>Base Case</w:t>
            </w:r>
          </w:p>
        </w:tc>
        <w:tc>
          <w:tcPr>
            <w:tcW w:w="1615" w:type="dxa"/>
            <w:shd w:val="clear" w:color="auto" w:fill="auto"/>
          </w:tcPr>
          <w:p w:rsidR="00BA22F7" w:rsidRPr="00777F66" w:rsidRDefault="00BA22F7" w:rsidP="004203DD">
            <w:pPr>
              <w:keepNext/>
              <w:keepLines/>
              <w:rPr>
                <w:rFonts w:cs="Arial"/>
                <w:b/>
                <w:szCs w:val="20"/>
              </w:rPr>
            </w:pPr>
            <w:r w:rsidRPr="00777F66">
              <w:rPr>
                <w:rFonts w:cs="Arial"/>
                <w:b/>
                <w:szCs w:val="20"/>
              </w:rPr>
              <w:t>Measure Case</w:t>
            </w:r>
          </w:p>
        </w:tc>
        <w:tc>
          <w:tcPr>
            <w:tcW w:w="1255" w:type="dxa"/>
            <w:shd w:val="clear" w:color="auto" w:fill="auto"/>
          </w:tcPr>
          <w:p w:rsidR="00BA22F7" w:rsidRPr="00777F66" w:rsidRDefault="00BA22F7" w:rsidP="004203DD">
            <w:pPr>
              <w:keepNext/>
              <w:keepLines/>
              <w:rPr>
                <w:rFonts w:cs="Arial"/>
                <w:b/>
                <w:szCs w:val="20"/>
              </w:rPr>
            </w:pPr>
            <w:r w:rsidRPr="00777F66">
              <w:rPr>
                <w:rFonts w:cs="Arial"/>
                <w:b/>
                <w:szCs w:val="20"/>
              </w:rPr>
              <w:t xml:space="preserve">IMC </w:t>
            </w:r>
          </w:p>
        </w:tc>
        <w:tc>
          <w:tcPr>
            <w:tcW w:w="2176" w:type="dxa"/>
            <w:shd w:val="clear" w:color="auto" w:fill="auto"/>
          </w:tcPr>
          <w:p w:rsidR="00BA22F7" w:rsidRPr="00777F66" w:rsidRDefault="00BA22F7" w:rsidP="004203DD">
            <w:pPr>
              <w:keepNext/>
              <w:keepLines/>
              <w:rPr>
                <w:rFonts w:cs="Arial"/>
                <w:b/>
                <w:szCs w:val="20"/>
              </w:rPr>
            </w:pPr>
            <w:r w:rsidRPr="00777F66">
              <w:rPr>
                <w:rFonts w:cs="Arial"/>
                <w:b/>
                <w:szCs w:val="20"/>
              </w:rPr>
              <w:t>Reference</w:t>
            </w:r>
          </w:p>
        </w:tc>
      </w:tr>
      <w:tr w:rsidR="006161A0" w:rsidRPr="007518AC" w:rsidTr="00BA22F7">
        <w:tc>
          <w:tcPr>
            <w:tcW w:w="1016" w:type="dxa"/>
            <w:shd w:val="clear" w:color="auto" w:fill="auto"/>
          </w:tcPr>
          <w:p w:rsidR="006161A0" w:rsidRPr="00777F66" w:rsidRDefault="006161A0" w:rsidP="00D9059D">
            <w:pPr>
              <w:keepNext/>
              <w:keepLines/>
              <w:rPr>
                <w:rFonts w:cs="Arial"/>
                <w:szCs w:val="20"/>
              </w:rPr>
            </w:pPr>
            <w:r w:rsidRPr="00777F66">
              <w:rPr>
                <w:rFonts w:cs="Arial"/>
                <w:szCs w:val="20"/>
              </w:rPr>
              <w:t>Varies – all Non-Res types</w:t>
            </w:r>
          </w:p>
        </w:tc>
        <w:tc>
          <w:tcPr>
            <w:tcW w:w="1071" w:type="dxa"/>
            <w:shd w:val="clear" w:color="auto" w:fill="auto"/>
          </w:tcPr>
          <w:p w:rsidR="006161A0" w:rsidRPr="00777F66" w:rsidRDefault="006161A0" w:rsidP="004203DD">
            <w:pPr>
              <w:keepNext/>
              <w:keepLines/>
              <w:rPr>
                <w:rFonts w:cs="Arial"/>
                <w:szCs w:val="20"/>
              </w:rPr>
            </w:pPr>
            <w:r w:rsidRPr="00777F66">
              <w:rPr>
                <w:rFonts w:cs="Arial"/>
                <w:szCs w:val="20"/>
              </w:rPr>
              <w:t>AV</w:t>
            </w:r>
          </w:p>
        </w:tc>
        <w:tc>
          <w:tcPr>
            <w:tcW w:w="939" w:type="dxa"/>
            <w:shd w:val="clear" w:color="auto" w:fill="auto"/>
          </w:tcPr>
          <w:p w:rsidR="006161A0" w:rsidRPr="00777F66" w:rsidRDefault="006161A0" w:rsidP="004203DD">
            <w:pPr>
              <w:keepNext/>
              <w:keepLines/>
              <w:rPr>
                <w:rFonts w:cs="Arial"/>
                <w:szCs w:val="20"/>
              </w:rPr>
            </w:pPr>
            <w:r w:rsidRPr="00777F66">
              <w:rPr>
                <w:rFonts w:cs="Arial"/>
                <w:szCs w:val="20"/>
              </w:rPr>
              <w:t>All</w:t>
            </w:r>
          </w:p>
        </w:tc>
        <w:tc>
          <w:tcPr>
            <w:tcW w:w="1396" w:type="dxa"/>
            <w:shd w:val="clear" w:color="auto" w:fill="auto"/>
          </w:tcPr>
          <w:p w:rsidR="006161A0" w:rsidRPr="00777F66" w:rsidRDefault="006161A0" w:rsidP="004203DD">
            <w:pPr>
              <w:keepNext/>
              <w:keepLines/>
              <w:rPr>
                <w:rFonts w:cs="Arial"/>
                <w:b/>
                <w:szCs w:val="20"/>
              </w:rPr>
            </w:pPr>
            <w:r w:rsidRPr="00777F66">
              <w:rPr>
                <w:rFonts w:cs="Arial"/>
                <w:szCs w:val="20"/>
              </w:rPr>
              <w:t>Varies</w:t>
            </w:r>
          </w:p>
        </w:tc>
        <w:tc>
          <w:tcPr>
            <w:tcW w:w="1615" w:type="dxa"/>
            <w:shd w:val="clear" w:color="auto" w:fill="auto"/>
          </w:tcPr>
          <w:p w:rsidR="006161A0" w:rsidRPr="00777F66" w:rsidRDefault="006161A0" w:rsidP="004203DD">
            <w:pPr>
              <w:keepNext/>
              <w:keepLines/>
              <w:rPr>
                <w:rFonts w:cs="Arial"/>
                <w:b/>
                <w:szCs w:val="20"/>
              </w:rPr>
            </w:pPr>
            <w:r w:rsidRPr="00777F66">
              <w:rPr>
                <w:rFonts w:cs="Arial"/>
                <w:szCs w:val="20"/>
              </w:rPr>
              <w:t>Varies</w:t>
            </w:r>
          </w:p>
        </w:tc>
        <w:tc>
          <w:tcPr>
            <w:tcW w:w="1255" w:type="dxa"/>
            <w:shd w:val="clear" w:color="auto" w:fill="auto"/>
          </w:tcPr>
          <w:p w:rsidR="006161A0" w:rsidRPr="00777F66" w:rsidRDefault="006161A0" w:rsidP="004203DD">
            <w:pPr>
              <w:keepNext/>
              <w:keepLines/>
              <w:rPr>
                <w:rFonts w:cs="Arial"/>
                <w:b/>
                <w:szCs w:val="20"/>
              </w:rPr>
            </w:pPr>
            <w:r w:rsidRPr="00777F66">
              <w:rPr>
                <w:rFonts w:cs="Arial"/>
                <w:szCs w:val="20"/>
              </w:rPr>
              <w:t>Varies</w:t>
            </w:r>
          </w:p>
        </w:tc>
        <w:tc>
          <w:tcPr>
            <w:tcW w:w="2176" w:type="dxa"/>
            <w:shd w:val="clear" w:color="auto" w:fill="auto"/>
          </w:tcPr>
          <w:p w:rsidR="006161A0" w:rsidRPr="0014397B" w:rsidRDefault="00611E76" w:rsidP="0001315F">
            <w:pPr>
              <w:keepNext/>
              <w:keepLines/>
              <w:rPr>
                <w:rFonts w:cs="Arial"/>
                <w:szCs w:val="20"/>
              </w:rPr>
            </w:pPr>
            <w:r w:rsidRPr="00777F66">
              <w:rPr>
                <w:rFonts w:cs="Arial"/>
                <w:szCs w:val="20"/>
              </w:rPr>
              <w:t>PG&amp;E</w:t>
            </w:r>
            <w:r w:rsidR="006161A0" w:rsidRPr="00777F66">
              <w:rPr>
                <w:rFonts w:cs="Arial"/>
                <w:szCs w:val="20"/>
              </w:rPr>
              <w:t xml:space="preserve"> calculations</w:t>
            </w:r>
          </w:p>
        </w:tc>
      </w:tr>
    </w:tbl>
    <w:p w:rsidR="009C5CA7" w:rsidRPr="007518AC" w:rsidRDefault="009C5CA7" w:rsidP="009C5CA7">
      <w:pPr>
        <w:rPr>
          <w:rFonts w:cs="Arial"/>
          <w:szCs w:val="20"/>
        </w:rPr>
      </w:pPr>
    </w:p>
    <w:p w:rsidR="009C5CA7" w:rsidRPr="007518AC" w:rsidRDefault="009C5CA7" w:rsidP="009C5CA7">
      <w:pPr>
        <w:rPr>
          <w:rFonts w:cs="Arial"/>
          <w:szCs w:val="20"/>
        </w:rPr>
      </w:pPr>
    </w:p>
    <w:p w:rsidR="001B03AC" w:rsidRPr="0014397B" w:rsidRDefault="00B573CA" w:rsidP="0035242A">
      <w:pPr>
        <w:rPr>
          <w:rFonts w:cs="Arial"/>
        </w:rPr>
      </w:pPr>
      <w:r>
        <w:rPr>
          <w:rFonts w:cs="Arial"/>
          <w:b/>
          <w:szCs w:val="20"/>
        </w:rPr>
        <w:br w:type="page"/>
      </w:r>
      <w:r w:rsidR="0035242A" w:rsidRPr="0014397B">
        <w:rPr>
          <w:rFonts w:cs="Arial"/>
        </w:rPr>
        <w:lastRenderedPageBreak/>
        <w:t xml:space="preserve"> </w:t>
      </w:r>
    </w:p>
    <w:p w:rsidR="00C069A2" w:rsidRPr="00777F66" w:rsidRDefault="00CF3FF0" w:rsidP="005134E2">
      <w:pPr>
        <w:pStyle w:val="Heading1"/>
      </w:pPr>
      <w:bookmarkStart w:id="35" w:name="_Toc437853352"/>
      <w:r w:rsidRPr="00777F66">
        <w:t xml:space="preserve">Section </w:t>
      </w:r>
      <w:r w:rsidR="00C069A2" w:rsidRPr="00777F66">
        <w:t>2</w:t>
      </w:r>
      <w:r w:rsidR="003129E8" w:rsidRPr="00777F66">
        <w:t>.</w:t>
      </w:r>
      <w:r w:rsidR="00C069A2" w:rsidRPr="00777F66">
        <w:t xml:space="preserve"> Calculation Methods</w:t>
      </w:r>
      <w:bookmarkEnd w:id="35"/>
    </w:p>
    <w:p w:rsidR="006F2AC3" w:rsidRPr="00777F66" w:rsidRDefault="006F2AC3" w:rsidP="006F2AC3">
      <w:pPr>
        <w:pStyle w:val="Heading3"/>
      </w:pPr>
      <w:bookmarkStart w:id="36" w:name="_Toc437853353"/>
      <w:r w:rsidRPr="00777F66">
        <w:t>2.0.1 Compressor Savings</w:t>
      </w:r>
      <w:bookmarkEnd w:id="36"/>
    </w:p>
    <w:p w:rsidR="006F2AC3" w:rsidRPr="00777F66" w:rsidRDefault="006F2AC3" w:rsidP="00C4236F">
      <w:pPr>
        <w:rPr>
          <w:rFonts w:cs="Arial"/>
          <w:szCs w:val="20"/>
        </w:rPr>
      </w:pPr>
      <w:r w:rsidRPr="00777F66">
        <w:rPr>
          <w:rFonts w:cs="Arial"/>
          <w:szCs w:val="20"/>
        </w:rPr>
        <w:t xml:space="preserve">Any heat contributed by lighting to a refrigerated case must be removed to maintain desired temperatures. Removing fluorescent lamps in favor of more efficient LEDs will reduce the heat load in the case, and thus reduce energy consumption by the difference in lighting fixture wattage plus an additional refrigeration factor.  </w:t>
      </w:r>
    </w:p>
    <w:p w:rsidR="00C4236F" w:rsidRPr="00777F66" w:rsidRDefault="00C4236F" w:rsidP="00C4236F">
      <w:pPr>
        <w:rPr>
          <w:rFonts w:cs="Arial"/>
          <w:szCs w:val="20"/>
        </w:rPr>
      </w:pPr>
    </w:p>
    <w:p w:rsidR="006F2AC3" w:rsidRPr="00777F66" w:rsidRDefault="006F2AC3" w:rsidP="00C4236F">
      <w:pPr>
        <w:rPr>
          <w:rFonts w:cs="Arial"/>
          <w:szCs w:val="20"/>
        </w:rPr>
      </w:pPr>
      <w:r w:rsidRPr="00777F66">
        <w:rPr>
          <w:rFonts w:cs="Arial"/>
          <w:szCs w:val="20"/>
        </w:rPr>
        <w:t>The three PG&amp;E ET studies have established several assumptions for calculating the refrigeration savings:</w:t>
      </w:r>
    </w:p>
    <w:p w:rsidR="006F2AC3" w:rsidRPr="00777F66" w:rsidRDefault="006F2AC3" w:rsidP="006F2AC3">
      <w:pPr>
        <w:numPr>
          <w:ilvl w:val="0"/>
          <w:numId w:val="27"/>
        </w:numPr>
        <w:rPr>
          <w:rFonts w:cs="Arial"/>
          <w:szCs w:val="20"/>
        </w:rPr>
      </w:pPr>
      <w:r w:rsidRPr="00777F66">
        <w:rPr>
          <w:rFonts w:cs="Arial"/>
          <w:szCs w:val="20"/>
        </w:rPr>
        <w:t xml:space="preserve">Most, but not all, of the electrical energy from case lighting is dissipated inside the case.  Generally the fluorescent ballast or LED power supply is outside the refrigerated compartment and does not contribute heat to the case.  The percentage of lighting energy introduced to the case varies between 86% and 90% of the lighting wattage. </w:t>
      </w:r>
      <w:r w:rsidR="003071BF" w:rsidRPr="00777F66">
        <w:rPr>
          <w:rFonts w:cs="Arial"/>
          <w:szCs w:val="20"/>
        </w:rPr>
        <w:t xml:space="preserve">The exact percentage used in each study varies by the precise model number and nominal wattage of each luminaire, so this assumption is presented as an average rather than calculated for each specific product. </w:t>
      </w:r>
    </w:p>
    <w:p w:rsidR="006F2AC3" w:rsidRPr="00777F66" w:rsidRDefault="006F2AC3" w:rsidP="006F2AC3">
      <w:pPr>
        <w:numPr>
          <w:ilvl w:val="0"/>
          <w:numId w:val="27"/>
        </w:numPr>
        <w:rPr>
          <w:rFonts w:cs="Arial"/>
          <w:szCs w:val="20"/>
        </w:rPr>
      </w:pPr>
      <w:r w:rsidRPr="00777F66">
        <w:rPr>
          <w:rFonts w:cs="Arial"/>
          <w:szCs w:val="20"/>
        </w:rPr>
        <w:t>Most, but not all, of the electrical energy introduced into the refrigerated case is dissipated as heat (rather than light) energy. Based on data from the Handbook of the Illuminating Engineering Society, 79% of the electrical energy is dissipated as heat.</w:t>
      </w:r>
    </w:p>
    <w:p w:rsidR="006F2AC3" w:rsidRPr="00777F66" w:rsidRDefault="006F2AC3" w:rsidP="006F2AC3">
      <w:pPr>
        <w:numPr>
          <w:ilvl w:val="0"/>
          <w:numId w:val="27"/>
        </w:numPr>
        <w:rPr>
          <w:rFonts w:cs="Arial"/>
          <w:szCs w:val="20"/>
        </w:rPr>
      </w:pPr>
      <w:r w:rsidRPr="00777F66">
        <w:rPr>
          <w:rFonts w:cs="Arial"/>
          <w:szCs w:val="20"/>
        </w:rPr>
        <w:t xml:space="preserve">Less than 1 Watt of energy is required to remove 1 Watt of heat from the refrigerated case by running the refrigerant compressor motor.  This relationship is expressed as the compressor coefficient of performance (COP).  COPs for refrigerated cases in the ET studies vary between 1.4 (for freezers) and 2.5 (for refrigerators).  </w:t>
      </w:r>
    </w:p>
    <w:p w:rsidR="006F2AC3" w:rsidRPr="00777F66" w:rsidRDefault="006F2AC3" w:rsidP="006F2AC3">
      <w:pPr>
        <w:rPr>
          <w:rFonts w:cs="Arial"/>
          <w:szCs w:val="20"/>
        </w:rPr>
      </w:pPr>
    </w:p>
    <w:p w:rsidR="006F2AC3" w:rsidRPr="00777F66" w:rsidRDefault="006F2AC3" w:rsidP="006F2AC3">
      <w:pPr>
        <w:rPr>
          <w:rFonts w:cs="Arial"/>
          <w:szCs w:val="20"/>
        </w:rPr>
      </w:pPr>
      <w:r w:rsidRPr="00777F66">
        <w:rPr>
          <w:rFonts w:cs="Arial"/>
          <w:szCs w:val="20"/>
        </w:rPr>
        <w:t>Refrigeration energy consumption can be calculated by combining these three assumptions:</w:t>
      </w:r>
    </w:p>
    <w:p w:rsidR="006F2AC3" w:rsidRPr="00777F66" w:rsidRDefault="006F2AC3" w:rsidP="006F2AC3">
      <w:pPr>
        <w:rPr>
          <w:rFonts w:cs="Arial"/>
          <w:szCs w:val="20"/>
        </w:rPr>
      </w:pPr>
    </w:p>
    <w:p w:rsidR="006F2AC3" w:rsidRPr="00777F66" w:rsidRDefault="006F2AC3" w:rsidP="006F2AC3">
      <w:pPr>
        <w:ind w:left="720"/>
        <w:rPr>
          <w:rFonts w:cs="Arial"/>
          <w:szCs w:val="20"/>
        </w:rPr>
      </w:pPr>
      <w:r w:rsidRPr="00777F66">
        <w:rPr>
          <w:rFonts w:cs="Arial"/>
          <w:szCs w:val="20"/>
        </w:rPr>
        <w:t>Refrigeration Energy = Lighting Energy x % Lighting inside case x % lighting as heat / COP</w:t>
      </w:r>
    </w:p>
    <w:p w:rsidR="006F2AC3" w:rsidRPr="00777F66" w:rsidRDefault="006F2AC3" w:rsidP="006F2AC3">
      <w:pPr>
        <w:ind w:left="720"/>
        <w:rPr>
          <w:rFonts w:cs="Arial"/>
          <w:szCs w:val="20"/>
        </w:rPr>
      </w:pPr>
    </w:p>
    <w:p w:rsidR="006F2AC3" w:rsidRPr="00777F66" w:rsidRDefault="006F2AC3" w:rsidP="006F2AC3">
      <w:pPr>
        <w:rPr>
          <w:rFonts w:cs="Arial"/>
          <w:szCs w:val="20"/>
        </w:rPr>
      </w:pPr>
      <w:r w:rsidRPr="00777F66">
        <w:rPr>
          <w:rFonts w:cs="Arial"/>
          <w:szCs w:val="20"/>
        </w:rPr>
        <w:t>This equation can be rewritten to express refrigeration energy as a percentage of lighting energy</w:t>
      </w:r>
    </w:p>
    <w:p w:rsidR="006F2AC3" w:rsidRPr="00777F66" w:rsidRDefault="006F2AC3" w:rsidP="006F2AC3">
      <w:pPr>
        <w:ind w:left="720"/>
        <w:rPr>
          <w:rFonts w:cs="Arial"/>
          <w:szCs w:val="20"/>
        </w:rPr>
      </w:pPr>
    </w:p>
    <w:p w:rsidR="006F2AC3" w:rsidRPr="00777F66" w:rsidRDefault="006F2AC3" w:rsidP="006F2AC3">
      <w:pPr>
        <w:ind w:left="720"/>
        <w:rPr>
          <w:rFonts w:cs="Arial"/>
          <w:szCs w:val="20"/>
        </w:rPr>
      </w:pPr>
      <w:r w:rsidRPr="00777F66">
        <w:rPr>
          <w:rFonts w:cs="Arial"/>
          <w:szCs w:val="20"/>
        </w:rPr>
        <w:t>% Refrigeration Energy = % Lighting inside case x % lighting as heat / Compressor COP</w:t>
      </w:r>
    </w:p>
    <w:p w:rsidR="006F2AC3" w:rsidRPr="00777F66" w:rsidRDefault="006F2AC3" w:rsidP="006F2AC3">
      <w:pPr>
        <w:ind w:left="720"/>
        <w:rPr>
          <w:rFonts w:cs="Arial"/>
          <w:szCs w:val="20"/>
        </w:rPr>
      </w:pPr>
    </w:p>
    <w:p w:rsidR="006F2AC3" w:rsidRPr="00777F66" w:rsidRDefault="006F2AC3" w:rsidP="006F2AC3">
      <w:pPr>
        <w:rPr>
          <w:rFonts w:cs="Arial"/>
          <w:szCs w:val="20"/>
        </w:rPr>
      </w:pPr>
      <w:r w:rsidRPr="00777F66">
        <w:rPr>
          <w:rFonts w:cs="Arial"/>
          <w:szCs w:val="20"/>
        </w:rPr>
        <w:t>Using typical numbers from the ET studies yields the following:</w:t>
      </w:r>
    </w:p>
    <w:p w:rsidR="006F2AC3" w:rsidRPr="00777F66" w:rsidRDefault="006F2AC3" w:rsidP="006F2AC3">
      <w:pPr>
        <w:ind w:left="720"/>
        <w:rPr>
          <w:rFonts w:cs="Arial"/>
          <w:szCs w:val="20"/>
        </w:rPr>
      </w:pPr>
    </w:p>
    <w:p w:rsidR="006F2AC3" w:rsidRPr="00777F66" w:rsidRDefault="006F2AC3" w:rsidP="006F2AC3">
      <w:pPr>
        <w:ind w:left="720"/>
        <w:rPr>
          <w:rFonts w:cs="Arial"/>
          <w:szCs w:val="20"/>
        </w:rPr>
      </w:pPr>
      <w:r w:rsidRPr="00777F66">
        <w:rPr>
          <w:rFonts w:cs="Arial"/>
          <w:szCs w:val="20"/>
        </w:rPr>
        <w:t>% Refrigeration Energy = 90% x 79% / 1.9 = 37.4%</w:t>
      </w:r>
    </w:p>
    <w:p w:rsidR="006F2AC3" w:rsidRPr="00777F66" w:rsidRDefault="006F2AC3" w:rsidP="006F2AC3">
      <w:pPr>
        <w:ind w:left="720"/>
        <w:rPr>
          <w:rFonts w:cs="Arial"/>
          <w:szCs w:val="20"/>
        </w:rPr>
      </w:pPr>
    </w:p>
    <w:p w:rsidR="006F2AC3" w:rsidRPr="00777F66" w:rsidRDefault="006F2AC3" w:rsidP="006F2AC3">
      <w:pPr>
        <w:ind w:left="720"/>
        <w:rPr>
          <w:rFonts w:cs="Arial"/>
          <w:szCs w:val="20"/>
        </w:rPr>
      </w:pPr>
      <w:r w:rsidRPr="00777F66">
        <w:rPr>
          <w:rFonts w:cs="Arial"/>
          <w:szCs w:val="20"/>
        </w:rPr>
        <w:t>Total Energy = Lighting Energy x 137.4%</w:t>
      </w:r>
    </w:p>
    <w:p w:rsidR="006F2AC3" w:rsidRPr="00777F66" w:rsidRDefault="006F2AC3" w:rsidP="006F2AC3">
      <w:pPr>
        <w:rPr>
          <w:rFonts w:cs="Arial"/>
          <w:szCs w:val="20"/>
        </w:rPr>
      </w:pPr>
    </w:p>
    <w:p w:rsidR="006F2AC3" w:rsidRPr="00777F66" w:rsidRDefault="006F2AC3" w:rsidP="006F2AC3">
      <w:pPr>
        <w:rPr>
          <w:rFonts w:cs="Arial"/>
          <w:szCs w:val="20"/>
        </w:rPr>
      </w:pPr>
      <w:r w:rsidRPr="00777F66">
        <w:rPr>
          <w:rFonts w:cs="Arial"/>
          <w:szCs w:val="20"/>
        </w:rPr>
        <w:t>Similar assumptions are used for Refrigeration savings in all three ET reports. For this workpaper, the assumptions from each ET report were weighted to account for the correct proportion of medium-temperature and low-temperature cases.  For each measure in this workpaper, refrigeration wattage is calculated as an additional 37.4% of the case lighting wattage, representing an average of the ET study results weighted by case temperature.</w:t>
      </w:r>
    </w:p>
    <w:p w:rsidR="006F2AC3" w:rsidRPr="00777F66" w:rsidRDefault="006F2AC3" w:rsidP="006F2AC3">
      <w:pPr>
        <w:rPr>
          <w:rFonts w:cs="Arial"/>
          <w:szCs w:val="20"/>
        </w:rPr>
      </w:pPr>
    </w:p>
    <w:p w:rsidR="00C069A2" w:rsidRPr="00777F66" w:rsidRDefault="00C069A2" w:rsidP="00D20486">
      <w:pPr>
        <w:pStyle w:val="Heading2"/>
      </w:pPr>
      <w:bookmarkStart w:id="37" w:name="_Toc437853354"/>
      <w:r w:rsidRPr="00777F66">
        <w:lastRenderedPageBreak/>
        <w:t xml:space="preserve">2.1 </w:t>
      </w:r>
      <w:r w:rsidR="007878B9" w:rsidRPr="00777F66">
        <w:t xml:space="preserve">Electric </w:t>
      </w:r>
      <w:r w:rsidRPr="00777F66">
        <w:t>Energy Savings Estimation Methodologies</w:t>
      </w:r>
      <w:bookmarkEnd w:id="37"/>
    </w:p>
    <w:p w:rsidR="00A95746" w:rsidRPr="00777F66" w:rsidRDefault="00A95746" w:rsidP="00A95746">
      <w:pPr>
        <w:numPr>
          <w:ilvl w:val="0"/>
          <w:numId w:val="14"/>
        </w:numPr>
        <w:tabs>
          <w:tab w:val="clear" w:pos="1440"/>
          <w:tab w:val="num" w:pos="360"/>
        </w:tabs>
        <w:ind w:left="360"/>
        <w:rPr>
          <w:rFonts w:cs="Arial"/>
          <w:i/>
          <w:szCs w:val="20"/>
        </w:rPr>
      </w:pPr>
      <w:r w:rsidRPr="00777F66">
        <w:rPr>
          <w:rFonts w:cs="Arial"/>
          <w:szCs w:val="20"/>
        </w:rPr>
        <w:t>This measure includes HVAC interactive effects savings.</w:t>
      </w:r>
    </w:p>
    <w:p w:rsidR="004967A2" w:rsidRPr="00777F66" w:rsidRDefault="00A95746" w:rsidP="00126A4E">
      <w:pPr>
        <w:numPr>
          <w:ilvl w:val="0"/>
          <w:numId w:val="14"/>
        </w:numPr>
        <w:tabs>
          <w:tab w:val="clear" w:pos="1440"/>
        </w:tabs>
        <w:ind w:left="360"/>
        <w:rPr>
          <w:rFonts w:cs="Arial"/>
          <w:i/>
          <w:szCs w:val="20"/>
        </w:rPr>
      </w:pPr>
      <w:r w:rsidRPr="00777F66">
        <w:rPr>
          <w:rFonts w:cs="Arial"/>
          <w:szCs w:val="20"/>
        </w:rPr>
        <w:t>This measure</w:t>
      </w:r>
      <w:r w:rsidR="001B03AC" w:rsidRPr="00777F66">
        <w:rPr>
          <w:rFonts w:cs="Arial"/>
          <w:szCs w:val="20"/>
        </w:rPr>
        <w:t xml:space="preserve"> is</w:t>
      </w:r>
      <w:r w:rsidRPr="00777F66">
        <w:rPr>
          <w:rFonts w:cs="Arial"/>
          <w:szCs w:val="20"/>
        </w:rPr>
        <w:t xml:space="preserve"> not an Early Retirement measure. </w:t>
      </w:r>
    </w:p>
    <w:p w:rsidR="00437C35" w:rsidRPr="00777F66" w:rsidRDefault="00437C35" w:rsidP="00437C35">
      <w:pPr>
        <w:ind w:left="360"/>
        <w:rPr>
          <w:rFonts w:cs="Arial"/>
          <w:i/>
          <w:szCs w:val="20"/>
        </w:rPr>
      </w:pPr>
    </w:p>
    <w:p w:rsidR="00957EE7" w:rsidRPr="00777F66" w:rsidRDefault="00957EE7" w:rsidP="00957EE7">
      <w:pPr>
        <w:rPr>
          <w:rFonts w:cs="Arial"/>
          <w:szCs w:val="20"/>
        </w:rPr>
      </w:pPr>
      <w:r w:rsidRPr="00777F66">
        <w:rPr>
          <w:rFonts w:cs="Arial"/>
          <w:szCs w:val="20"/>
        </w:rPr>
        <w:t>Field surveys and feedback solicited from vendors has shown that horizontal refrigerated cases are often equipped with fixtures that have a multiple lamp profile, particularly in the canopy area of the fixture.  Shelf and nose fixtures normally use a single lamp profile, though multiple-lamp profile configurations do exist in nose lighting.   Vertical refrigerated cases are normally illuminated with fluorescent fixtures using a single lamp profile.  While fixtures 5 feet and shorter use both T12 and T8 lamps and ballasts, 6 foot fixtures overwhelmingly use T12HO equipment—no other lamp types have been documented.</w:t>
      </w:r>
    </w:p>
    <w:p w:rsidR="00957EE7" w:rsidRPr="00777F66" w:rsidRDefault="00957EE7" w:rsidP="00957EE7">
      <w:pPr>
        <w:rPr>
          <w:rFonts w:cs="Arial"/>
          <w:szCs w:val="20"/>
        </w:rPr>
      </w:pPr>
    </w:p>
    <w:p w:rsidR="005A33AB" w:rsidRPr="00777F66" w:rsidRDefault="00957EE7" w:rsidP="00957EE7">
      <w:pPr>
        <w:rPr>
          <w:rFonts w:cs="Arial"/>
          <w:szCs w:val="20"/>
        </w:rPr>
      </w:pPr>
      <w:r w:rsidRPr="00777F66">
        <w:rPr>
          <w:rFonts w:cs="Arial"/>
          <w:szCs w:val="20"/>
        </w:rPr>
        <w:t>The light output of the measure case fixtures will be typically lower than the overall light output of the base case fixtures, but typically offer improvements in distribution and uniformity.  Measure case light output will also vary based on the lamp profile of the existing fluorescent fixture.  In instances of a multiple lamp profile fixture, vendors may install multiple LED lightbars in an attempt to match the output of the existing fixture.  One alternative is to install a single LED lightbar as a replacement for a multiple lamp base case.  This is commonly referred to as “de-lamping”, although somewhat inaccurate</w:t>
      </w:r>
      <w:r w:rsidR="005A33AB" w:rsidRPr="00777F66">
        <w:rPr>
          <w:rFonts w:cs="Arial"/>
          <w:szCs w:val="20"/>
        </w:rPr>
        <w:t xml:space="preserve">ly in </w:t>
      </w:r>
      <w:r w:rsidRPr="00777F66">
        <w:rPr>
          <w:rFonts w:cs="Arial"/>
          <w:szCs w:val="20"/>
        </w:rPr>
        <w:t xml:space="preserve">technical </w:t>
      </w:r>
      <w:r w:rsidR="005A33AB" w:rsidRPr="00777F66">
        <w:rPr>
          <w:rFonts w:cs="Arial"/>
          <w:szCs w:val="20"/>
        </w:rPr>
        <w:t>terms</w:t>
      </w:r>
      <w:r w:rsidRPr="00777F66">
        <w:rPr>
          <w:rFonts w:cs="Arial"/>
          <w:szCs w:val="20"/>
        </w:rPr>
        <w:t xml:space="preserve"> </w:t>
      </w:r>
      <w:r w:rsidR="005A33AB" w:rsidRPr="00777F66">
        <w:rPr>
          <w:rFonts w:cs="Arial"/>
          <w:szCs w:val="20"/>
        </w:rPr>
        <w:t xml:space="preserve">because </w:t>
      </w:r>
      <w:r w:rsidRPr="00777F66">
        <w:rPr>
          <w:rFonts w:cs="Arial"/>
          <w:szCs w:val="20"/>
        </w:rPr>
        <w:t>the lighting technology type has change</w:t>
      </w:r>
      <w:r w:rsidR="005A33AB" w:rsidRPr="00777F66">
        <w:rPr>
          <w:rFonts w:cs="Arial"/>
          <w:szCs w:val="20"/>
        </w:rPr>
        <w:t>d, and</w:t>
      </w:r>
      <w:r w:rsidRPr="00777F66">
        <w:rPr>
          <w:rFonts w:cs="Arial"/>
          <w:szCs w:val="20"/>
        </w:rPr>
        <w:t xml:space="preserve"> the LED product is not technically</w:t>
      </w:r>
      <w:r w:rsidR="005A33AB" w:rsidRPr="00777F66">
        <w:rPr>
          <w:rFonts w:cs="Arial"/>
          <w:szCs w:val="20"/>
        </w:rPr>
        <w:t xml:space="preserve"> a lamp</w:t>
      </w:r>
      <w:r w:rsidRPr="00777F66">
        <w:rPr>
          <w:rFonts w:cs="Arial"/>
          <w:szCs w:val="20"/>
        </w:rPr>
        <w:t xml:space="preserve">.  </w:t>
      </w:r>
    </w:p>
    <w:p w:rsidR="005A33AB" w:rsidRPr="00777F66" w:rsidRDefault="005A33AB" w:rsidP="00957EE7">
      <w:pPr>
        <w:rPr>
          <w:rFonts w:cs="Arial"/>
          <w:szCs w:val="20"/>
        </w:rPr>
      </w:pPr>
    </w:p>
    <w:p w:rsidR="00957EE7" w:rsidRPr="00777F66" w:rsidRDefault="00957EE7" w:rsidP="00957EE7">
      <w:pPr>
        <w:rPr>
          <w:rFonts w:cs="Arial"/>
          <w:szCs w:val="20"/>
        </w:rPr>
      </w:pPr>
      <w:r w:rsidRPr="00777F66">
        <w:rPr>
          <w:rFonts w:cs="Arial"/>
          <w:szCs w:val="20"/>
        </w:rPr>
        <w:t xml:space="preserve">When </w:t>
      </w:r>
      <w:r w:rsidR="005A33AB" w:rsidRPr="00777F66">
        <w:rPr>
          <w:rFonts w:cs="Arial"/>
          <w:szCs w:val="20"/>
        </w:rPr>
        <w:t>de-lamping</w:t>
      </w:r>
      <w:r w:rsidRPr="00777F66">
        <w:rPr>
          <w:rFonts w:cs="Arial"/>
          <w:szCs w:val="20"/>
        </w:rPr>
        <w:t xml:space="preserve"> occurs, the vendor </w:t>
      </w:r>
      <w:r w:rsidR="005A33AB" w:rsidRPr="00777F66">
        <w:rPr>
          <w:rFonts w:cs="Arial"/>
          <w:szCs w:val="20"/>
        </w:rPr>
        <w:t xml:space="preserve">may install a higher wattage, higher </w:t>
      </w:r>
      <w:r w:rsidRPr="00777F66">
        <w:rPr>
          <w:rFonts w:cs="Arial"/>
          <w:szCs w:val="20"/>
        </w:rPr>
        <w:t xml:space="preserve">output lightbar </w:t>
      </w:r>
      <w:r w:rsidR="005A33AB" w:rsidRPr="00777F66">
        <w:rPr>
          <w:rFonts w:cs="Arial"/>
          <w:szCs w:val="20"/>
        </w:rPr>
        <w:t>than used for single-lamp replacement</w:t>
      </w:r>
      <w:r w:rsidRPr="00777F66">
        <w:rPr>
          <w:rFonts w:cs="Arial"/>
          <w:szCs w:val="20"/>
        </w:rPr>
        <w:t xml:space="preserve">. </w:t>
      </w:r>
      <w:r w:rsidR="005A33AB" w:rsidRPr="00777F66">
        <w:rPr>
          <w:rFonts w:cs="Arial"/>
          <w:szCs w:val="20"/>
        </w:rPr>
        <w:t xml:space="preserve">Therefore the </w:t>
      </w:r>
      <w:r w:rsidRPr="00777F66">
        <w:rPr>
          <w:rFonts w:cs="Arial"/>
          <w:szCs w:val="20"/>
        </w:rPr>
        <w:t>fourth</w:t>
      </w:r>
      <w:r w:rsidR="005A33AB" w:rsidRPr="00777F66">
        <w:rPr>
          <w:rFonts w:cs="Arial"/>
          <w:szCs w:val="20"/>
        </w:rPr>
        <w:t>, highest-wattage</w:t>
      </w:r>
      <w:r w:rsidRPr="00777F66">
        <w:rPr>
          <w:rFonts w:cs="Arial"/>
          <w:szCs w:val="20"/>
        </w:rPr>
        <w:t xml:space="preserve"> tier</w:t>
      </w:r>
      <w:r w:rsidR="005A33AB" w:rsidRPr="00777F66">
        <w:rPr>
          <w:rFonts w:cs="Arial"/>
          <w:szCs w:val="20"/>
        </w:rPr>
        <w:t xml:space="preserve"> of LED lightbars is </w:t>
      </w:r>
      <w:r w:rsidRPr="00777F66">
        <w:rPr>
          <w:rFonts w:cs="Arial"/>
          <w:szCs w:val="20"/>
        </w:rPr>
        <w:t xml:space="preserve">only </w:t>
      </w:r>
      <w:r w:rsidR="005A33AB" w:rsidRPr="00777F66">
        <w:rPr>
          <w:rFonts w:cs="Arial"/>
          <w:szCs w:val="20"/>
        </w:rPr>
        <w:t>applicable in cases of de-lamping. Products from Tiers 1 through 3 may be used in conjunction with de-lamping if customers’ needs for illumination are met.</w:t>
      </w:r>
    </w:p>
    <w:p w:rsidR="007C5C7F" w:rsidRPr="00777F66" w:rsidRDefault="007C5C7F" w:rsidP="00957EE7">
      <w:pPr>
        <w:rPr>
          <w:rFonts w:cs="Arial"/>
          <w:szCs w:val="20"/>
        </w:rPr>
      </w:pPr>
    </w:p>
    <w:p w:rsidR="00957EE7" w:rsidRPr="00777F66" w:rsidRDefault="00957EE7" w:rsidP="00CF3FF0">
      <w:pPr>
        <w:rPr>
          <w:rFonts w:cs="Arial"/>
          <w:b/>
          <w:szCs w:val="20"/>
        </w:rPr>
      </w:pPr>
    </w:p>
    <w:p w:rsidR="00126A4E" w:rsidRPr="00777F66" w:rsidRDefault="00126A4E" w:rsidP="00CF3FF0">
      <w:pPr>
        <w:rPr>
          <w:rFonts w:cs="Arial"/>
          <w:szCs w:val="20"/>
        </w:rPr>
      </w:pPr>
      <w:r w:rsidRPr="00777F66">
        <w:rPr>
          <w:rFonts w:cs="Arial"/>
          <w:b/>
          <w:szCs w:val="20"/>
        </w:rPr>
        <w:t>∆Watts/</w:t>
      </w:r>
      <w:r w:rsidR="009C3DA2" w:rsidRPr="00777F66">
        <w:rPr>
          <w:rFonts w:cs="Arial"/>
          <w:b/>
          <w:szCs w:val="20"/>
        </w:rPr>
        <w:t xml:space="preserve">linear </w:t>
      </w:r>
      <w:r w:rsidR="00415F88" w:rsidRPr="00777F66">
        <w:rPr>
          <w:rFonts w:cs="Arial"/>
          <w:b/>
          <w:szCs w:val="20"/>
        </w:rPr>
        <w:t>f</w:t>
      </w:r>
      <w:r w:rsidR="00000771" w:rsidRPr="00777F66">
        <w:rPr>
          <w:rFonts w:cs="Arial"/>
          <w:b/>
          <w:szCs w:val="20"/>
        </w:rPr>
        <w:t>oot</w:t>
      </w:r>
      <w:r w:rsidRPr="00777F66">
        <w:rPr>
          <w:rFonts w:cs="Arial"/>
          <w:b/>
          <w:szCs w:val="20"/>
        </w:rPr>
        <w:t>:</w:t>
      </w:r>
      <w:r w:rsidR="00CF3FF0" w:rsidRPr="00777F66" w:rsidDel="00CF3FF0">
        <w:rPr>
          <w:rFonts w:cs="Arial"/>
          <w:b/>
          <w:szCs w:val="20"/>
        </w:rPr>
        <w:t xml:space="preserve"> </w:t>
      </w:r>
      <w:r w:rsidRPr="00777F66">
        <w:rPr>
          <w:rFonts w:cs="Arial"/>
          <w:szCs w:val="20"/>
        </w:rPr>
        <w:t xml:space="preserve">The demand difference (watts per </w:t>
      </w:r>
      <w:r w:rsidR="009C3DA2" w:rsidRPr="00777F66">
        <w:rPr>
          <w:rFonts w:cs="Arial"/>
          <w:szCs w:val="20"/>
        </w:rPr>
        <w:t xml:space="preserve">linear </w:t>
      </w:r>
      <w:r w:rsidR="00000771" w:rsidRPr="00777F66">
        <w:rPr>
          <w:rFonts w:cs="Arial"/>
          <w:szCs w:val="20"/>
        </w:rPr>
        <w:t>foot</w:t>
      </w:r>
      <w:r w:rsidRPr="00777F66">
        <w:rPr>
          <w:rFonts w:cs="Arial"/>
          <w:szCs w:val="20"/>
        </w:rPr>
        <w:t xml:space="preserve">) is the difference between the electric demand of the base </w:t>
      </w:r>
      <w:r w:rsidR="00415F88" w:rsidRPr="00777F66">
        <w:rPr>
          <w:rFonts w:cs="Arial"/>
          <w:szCs w:val="20"/>
        </w:rPr>
        <w:t>fixture</w:t>
      </w:r>
      <w:r w:rsidR="00B42521" w:rsidRPr="00777F66">
        <w:rPr>
          <w:rFonts w:cs="Arial"/>
          <w:szCs w:val="20"/>
        </w:rPr>
        <w:t xml:space="preserve"> in</w:t>
      </w:r>
      <w:r w:rsidR="00000771" w:rsidRPr="00777F66">
        <w:rPr>
          <w:rFonts w:cs="Arial"/>
          <w:szCs w:val="20"/>
        </w:rPr>
        <w:t xml:space="preserve"> watts/foot </w:t>
      </w:r>
      <w:r w:rsidRPr="00777F66">
        <w:rPr>
          <w:rFonts w:cs="Arial"/>
          <w:szCs w:val="20"/>
        </w:rPr>
        <w:t xml:space="preserve">and the electric demand of the energy efficient </w:t>
      </w:r>
      <w:r w:rsidR="00415F88" w:rsidRPr="00777F66">
        <w:rPr>
          <w:rFonts w:cs="Arial"/>
          <w:szCs w:val="20"/>
        </w:rPr>
        <w:t>fixture</w:t>
      </w:r>
      <w:r w:rsidR="00000771" w:rsidRPr="00777F66">
        <w:rPr>
          <w:rFonts w:cs="Arial"/>
          <w:szCs w:val="20"/>
        </w:rPr>
        <w:t xml:space="preserve"> in watts/foot</w:t>
      </w:r>
      <w:r w:rsidR="006F2AC3" w:rsidRPr="00777F66">
        <w:rPr>
          <w:rFonts w:cs="Arial"/>
          <w:szCs w:val="20"/>
        </w:rPr>
        <w:t>, all multiplied by the compressor savings factor of 1</w:t>
      </w:r>
      <w:r w:rsidR="001058F2" w:rsidRPr="00777F66">
        <w:rPr>
          <w:rFonts w:cs="Arial"/>
          <w:szCs w:val="20"/>
        </w:rPr>
        <w:t xml:space="preserve">37.4%. </w:t>
      </w:r>
    </w:p>
    <w:p w:rsidR="00126A4E" w:rsidRPr="00777F66" w:rsidRDefault="00126A4E" w:rsidP="00126A4E">
      <w:pPr>
        <w:ind w:left="720"/>
        <w:rPr>
          <w:rFonts w:cs="Arial"/>
          <w:szCs w:val="20"/>
        </w:rPr>
      </w:pPr>
    </w:p>
    <w:p w:rsidR="00126A4E" w:rsidRPr="00777F66" w:rsidRDefault="00126A4E" w:rsidP="00CC34FF">
      <w:pPr>
        <w:ind w:left="720"/>
        <w:rPr>
          <w:rFonts w:cs="Arial"/>
          <w:b/>
          <w:szCs w:val="20"/>
        </w:rPr>
      </w:pPr>
      <w:r w:rsidRPr="00777F66">
        <w:rPr>
          <w:rFonts w:cs="Arial"/>
          <w:b/>
          <w:szCs w:val="20"/>
        </w:rPr>
        <w:t>∆Watts/</w:t>
      </w:r>
      <w:r w:rsidR="009C3DA2" w:rsidRPr="00777F66">
        <w:rPr>
          <w:rFonts w:cs="Arial"/>
          <w:b/>
          <w:szCs w:val="20"/>
        </w:rPr>
        <w:t xml:space="preserve">foot </w:t>
      </w:r>
      <w:r w:rsidRPr="00777F66">
        <w:rPr>
          <w:rFonts w:cs="Arial"/>
          <w:b/>
          <w:szCs w:val="20"/>
        </w:rPr>
        <w:t xml:space="preserve">= </w:t>
      </w:r>
      <w:r w:rsidR="006F2AC3" w:rsidRPr="00777F66">
        <w:rPr>
          <w:rFonts w:cs="Arial"/>
          <w:b/>
          <w:szCs w:val="20"/>
        </w:rPr>
        <w:t>(</w:t>
      </w:r>
      <w:r w:rsidRPr="00777F66">
        <w:rPr>
          <w:rFonts w:cs="Arial"/>
          <w:b/>
          <w:szCs w:val="20"/>
        </w:rPr>
        <w:t>Base</w:t>
      </w:r>
      <w:r w:rsidR="001A3026" w:rsidRPr="00777F66">
        <w:rPr>
          <w:rFonts w:cs="Arial"/>
          <w:b/>
          <w:szCs w:val="20"/>
        </w:rPr>
        <w:t xml:space="preserve"> Case</w:t>
      </w:r>
      <w:r w:rsidRPr="00777F66">
        <w:rPr>
          <w:rFonts w:cs="Arial"/>
          <w:b/>
          <w:szCs w:val="20"/>
        </w:rPr>
        <w:t xml:space="preserve"> Watts/</w:t>
      </w:r>
      <w:r w:rsidR="00000771" w:rsidRPr="00777F66">
        <w:rPr>
          <w:rFonts w:cs="Arial"/>
          <w:b/>
          <w:szCs w:val="20"/>
        </w:rPr>
        <w:t>foot</w:t>
      </w:r>
      <w:r w:rsidR="00BB4412" w:rsidRPr="00777F66">
        <w:rPr>
          <w:rFonts w:cs="Arial"/>
          <w:b/>
          <w:szCs w:val="20"/>
        </w:rPr>
        <w:t xml:space="preserve"> </w:t>
      </w:r>
      <w:r w:rsidRPr="00777F66">
        <w:rPr>
          <w:rFonts w:cs="Arial"/>
          <w:b/>
          <w:szCs w:val="20"/>
        </w:rPr>
        <w:t>-</w:t>
      </w:r>
      <w:r w:rsidR="00476B67" w:rsidRPr="00777F66">
        <w:rPr>
          <w:rFonts w:cs="Arial"/>
          <w:b/>
          <w:szCs w:val="20"/>
        </w:rPr>
        <w:t xml:space="preserve"> </w:t>
      </w:r>
      <w:r w:rsidR="001A3026" w:rsidRPr="00777F66">
        <w:rPr>
          <w:rFonts w:cs="Arial"/>
          <w:b/>
          <w:szCs w:val="20"/>
        </w:rPr>
        <w:t xml:space="preserve">Measure Case </w:t>
      </w:r>
      <w:r w:rsidRPr="00777F66">
        <w:rPr>
          <w:rFonts w:cs="Arial"/>
          <w:b/>
          <w:szCs w:val="20"/>
        </w:rPr>
        <w:t>Watts</w:t>
      </w:r>
      <w:r w:rsidR="00AD322C" w:rsidRPr="00777F66">
        <w:rPr>
          <w:rFonts w:cs="Arial"/>
          <w:b/>
          <w:szCs w:val="20"/>
        </w:rPr>
        <w:t>/</w:t>
      </w:r>
      <w:r w:rsidR="00000771" w:rsidRPr="00777F66">
        <w:rPr>
          <w:rFonts w:cs="Arial"/>
          <w:b/>
          <w:szCs w:val="20"/>
        </w:rPr>
        <w:t>foot</w:t>
      </w:r>
      <w:r w:rsidR="006F2AC3" w:rsidRPr="00777F66">
        <w:rPr>
          <w:rFonts w:cs="Arial"/>
          <w:b/>
          <w:szCs w:val="20"/>
        </w:rPr>
        <w:t xml:space="preserve">) x </w:t>
      </w:r>
      <w:r w:rsidR="00AA7532" w:rsidRPr="00777F66">
        <w:rPr>
          <w:rFonts w:cs="Arial"/>
          <w:b/>
          <w:szCs w:val="20"/>
        </w:rPr>
        <w:t>Compressor Savings Factor</w:t>
      </w:r>
    </w:p>
    <w:p w:rsidR="00126A4E" w:rsidRPr="00777F66" w:rsidRDefault="00126A4E" w:rsidP="00126A4E">
      <w:pPr>
        <w:rPr>
          <w:rFonts w:cs="Arial"/>
          <w:szCs w:val="20"/>
        </w:rPr>
      </w:pPr>
    </w:p>
    <w:p w:rsidR="000F11DD" w:rsidRPr="00777F66" w:rsidRDefault="000F11DD" w:rsidP="00126A4E">
      <w:pPr>
        <w:rPr>
          <w:rFonts w:cs="Arial"/>
          <w:b/>
          <w:szCs w:val="20"/>
        </w:rPr>
      </w:pPr>
      <w:r w:rsidRPr="00777F66">
        <w:rPr>
          <w:rFonts w:cs="Arial"/>
          <w:b/>
          <w:szCs w:val="20"/>
        </w:rPr>
        <w:t>Where:</w:t>
      </w:r>
    </w:p>
    <w:p w:rsidR="000F11DD" w:rsidRPr="00777F66" w:rsidRDefault="00000771" w:rsidP="00000771">
      <w:pPr>
        <w:ind w:left="576"/>
        <w:rPr>
          <w:rFonts w:cs="Arial"/>
          <w:b/>
          <w:szCs w:val="20"/>
        </w:rPr>
      </w:pPr>
      <w:r w:rsidRPr="00777F66">
        <w:rPr>
          <w:rFonts w:cs="Arial"/>
          <w:b/>
          <w:szCs w:val="20"/>
        </w:rPr>
        <w:t>Base Case w</w:t>
      </w:r>
      <w:r w:rsidR="000F11DD" w:rsidRPr="00777F66">
        <w:rPr>
          <w:rFonts w:cs="Arial"/>
          <w:b/>
          <w:szCs w:val="20"/>
        </w:rPr>
        <w:t>atts/</w:t>
      </w:r>
      <w:r w:rsidRPr="00777F66">
        <w:rPr>
          <w:rFonts w:cs="Arial"/>
          <w:b/>
          <w:szCs w:val="20"/>
        </w:rPr>
        <w:t>foot</w:t>
      </w:r>
      <w:r w:rsidR="00AD322C" w:rsidRPr="00777F66">
        <w:rPr>
          <w:rFonts w:cs="Arial"/>
          <w:b/>
          <w:szCs w:val="20"/>
        </w:rPr>
        <w:t xml:space="preserve"> </w:t>
      </w:r>
      <w:r w:rsidR="009C3DA2" w:rsidRPr="00777F66">
        <w:rPr>
          <w:rFonts w:cs="Arial"/>
          <w:b/>
          <w:szCs w:val="20"/>
        </w:rPr>
        <w:t xml:space="preserve">varies between </w:t>
      </w:r>
      <w:r w:rsidR="008F311C" w:rsidRPr="00777F66">
        <w:rPr>
          <w:rFonts w:cs="Arial"/>
          <w:b/>
          <w:szCs w:val="20"/>
        </w:rPr>
        <w:t>7.6</w:t>
      </w:r>
      <w:r w:rsidR="00957EE7" w:rsidRPr="00777F66">
        <w:rPr>
          <w:rFonts w:cs="Arial"/>
          <w:b/>
          <w:szCs w:val="20"/>
        </w:rPr>
        <w:t xml:space="preserve"> W and </w:t>
      </w:r>
      <w:r w:rsidR="008F311C" w:rsidRPr="00777F66">
        <w:rPr>
          <w:rFonts w:cs="Arial"/>
          <w:b/>
          <w:szCs w:val="20"/>
        </w:rPr>
        <w:t>36.3</w:t>
      </w:r>
      <w:r w:rsidR="009C3DA2" w:rsidRPr="00777F66">
        <w:rPr>
          <w:rFonts w:cs="Arial"/>
          <w:b/>
          <w:szCs w:val="20"/>
        </w:rPr>
        <w:t xml:space="preserve"> </w:t>
      </w:r>
      <w:r w:rsidR="001A13D5" w:rsidRPr="00777F66">
        <w:rPr>
          <w:rFonts w:cs="Arial"/>
          <w:b/>
          <w:szCs w:val="20"/>
        </w:rPr>
        <w:t xml:space="preserve">W, representing </w:t>
      </w:r>
      <w:r w:rsidRPr="00777F66">
        <w:rPr>
          <w:rFonts w:cs="Arial"/>
          <w:b/>
          <w:szCs w:val="20"/>
        </w:rPr>
        <w:t xml:space="preserve">the watts per foot of </w:t>
      </w:r>
      <w:r w:rsidR="00957EE7" w:rsidRPr="00777F66">
        <w:rPr>
          <w:rFonts w:cs="Arial"/>
          <w:b/>
          <w:szCs w:val="20"/>
        </w:rPr>
        <w:t xml:space="preserve">a fluorescent system that is </w:t>
      </w:r>
      <w:r w:rsidRPr="00777F66">
        <w:rPr>
          <w:rFonts w:cs="Arial"/>
          <w:b/>
          <w:szCs w:val="20"/>
        </w:rPr>
        <w:t xml:space="preserve">either T8 </w:t>
      </w:r>
      <w:r w:rsidR="00957EE7" w:rsidRPr="00777F66">
        <w:rPr>
          <w:rFonts w:cs="Arial"/>
          <w:b/>
          <w:szCs w:val="20"/>
        </w:rPr>
        <w:t>or</w:t>
      </w:r>
      <w:r w:rsidRPr="00777F66">
        <w:rPr>
          <w:rFonts w:cs="Arial"/>
          <w:b/>
          <w:szCs w:val="20"/>
        </w:rPr>
        <w:t xml:space="preserve"> T12</w:t>
      </w:r>
      <w:r w:rsidR="00957EE7" w:rsidRPr="00777F66">
        <w:rPr>
          <w:rFonts w:cs="Arial"/>
          <w:b/>
          <w:szCs w:val="20"/>
        </w:rPr>
        <w:t>, and either single-lamp profile or multiple-lamp profile.  For this workpaper, every multiple lamp profile configuration is treated conservatively as 2-lamp profile, even though field surveys have shown that 3-lamp profile system do exist.</w:t>
      </w:r>
    </w:p>
    <w:p w:rsidR="00000771" w:rsidRPr="00777F66" w:rsidRDefault="00000771" w:rsidP="00000771">
      <w:pPr>
        <w:ind w:left="576"/>
        <w:rPr>
          <w:rFonts w:cs="Arial"/>
          <w:b/>
          <w:szCs w:val="20"/>
        </w:rPr>
      </w:pPr>
    </w:p>
    <w:p w:rsidR="00000771" w:rsidRPr="00777F66" w:rsidRDefault="00000771" w:rsidP="00000771">
      <w:pPr>
        <w:ind w:left="576"/>
        <w:rPr>
          <w:rFonts w:cs="Arial"/>
          <w:b/>
          <w:szCs w:val="20"/>
        </w:rPr>
      </w:pPr>
      <w:r w:rsidRPr="00777F66">
        <w:rPr>
          <w:rFonts w:cs="Arial"/>
          <w:b/>
          <w:szCs w:val="20"/>
        </w:rPr>
        <w:t>Measure Case watts/foot</w:t>
      </w:r>
      <w:r w:rsidR="00880C8F" w:rsidRPr="00777F66">
        <w:rPr>
          <w:rFonts w:cs="Arial"/>
          <w:b/>
          <w:szCs w:val="20"/>
        </w:rPr>
        <w:t xml:space="preserve"> </w:t>
      </w:r>
      <w:r w:rsidRPr="00777F66">
        <w:rPr>
          <w:rFonts w:cs="Arial"/>
          <w:b/>
          <w:szCs w:val="20"/>
        </w:rPr>
        <w:t xml:space="preserve">is the </w:t>
      </w:r>
      <w:r w:rsidR="009C3DA2" w:rsidRPr="00777F66">
        <w:rPr>
          <w:rFonts w:cs="Arial"/>
          <w:b/>
          <w:szCs w:val="20"/>
        </w:rPr>
        <w:t>maximum wattage that defines</w:t>
      </w:r>
      <w:r w:rsidR="00957EE7" w:rsidRPr="00777F66">
        <w:rPr>
          <w:rFonts w:cs="Arial"/>
          <w:b/>
          <w:szCs w:val="20"/>
        </w:rPr>
        <w:t xml:space="preserve"> the appropriate tier—either </w:t>
      </w:r>
      <w:r w:rsidR="009C3DA2" w:rsidRPr="00777F66">
        <w:rPr>
          <w:rFonts w:cs="Arial"/>
          <w:b/>
          <w:szCs w:val="20"/>
        </w:rPr>
        <w:t>2 W, 4 W, 6 W or 9 W</w:t>
      </w:r>
      <w:r w:rsidR="00957EE7" w:rsidRPr="00777F66">
        <w:rPr>
          <w:rFonts w:cs="Arial"/>
          <w:b/>
          <w:szCs w:val="20"/>
        </w:rPr>
        <w:t>—increased by the 37.4% refrigeration savings factor</w:t>
      </w:r>
      <w:r w:rsidRPr="00777F66">
        <w:rPr>
          <w:rFonts w:cs="Arial"/>
          <w:b/>
          <w:szCs w:val="20"/>
        </w:rPr>
        <w:t>.</w:t>
      </w:r>
      <w:r w:rsidR="001416D2" w:rsidRPr="00777F66">
        <w:rPr>
          <w:rFonts w:cs="Arial"/>
          <w:b/>
          <w:szCs w:val="20"/>
        </w:rPr>
        <w:t xml:space="preserve">  </w:t>
      </w:r>
      <w:r w:rsidR="00957EE7" w:rsidRPr="00777F66">
        <w:rPr>
          <w:rFonts w:cs="Arial"/>
          <w:b/>
          <w:szCs w:val="20"/>
        </w:rPr>
        <w:t>The e</w:t>
      </w:r>
      <w:r w:rsidR="001416D2" w:rsidRPr="00777F66">
        <w:rPr>
          <w:rFonts w:cs="Arial"/>
          <w:b/>
          <w:szCs w:val="20"/>
        </w:rPr>
        <w:t>xamples below are for a Tier 3 LED</w:t>
      </w:r>
      <w:r w:rsidR="004D3DAB" w:rsidRPr="00777F66">
        <w:rPr>
          <w:rFonts w:cs="Arial"/>
          <w:b/>
          <w:szCs w:val="20"/>
        </w:rPr>
        <w:t>.</w:t>
      </w:r>
    </w:p>
    <w:p w:rsidR="00403FBE" w:rsidRPr="00777F66" w:rsidRDefault="000F11DD" w:rsidP="00126A4E">
      <w:pPr>
        <w:rPr>
          <w:rFonts w:cs="Arial"/>
          <w:b/>
          <w:szCs w:val="20"/>
        </w:rPr>
      </w:pPr>
      <w:r w:rsidRPr="00777F66">
        <w:rPr>
          <w:rFonts w:cs="Arial"/>
          <w:b/>
          <w:szCs w:val="20"/>
        </w:rPr>
        <w:tab/>
      </w:r>
    </w:p>
    <w:p w:rsidR="00CC6DB2" w:rsidRPr="00777F66" w:rsidRDefault="00CC6DB2" w:rsidP="00CC6DB2">
      <w:pPr>
        <w:rPr>
          <w:rFonts w:cs="Arial"/>
          <w:b/>
          <w:szCs w:val="20"/>
        </w:rPr>
      </w:pPr>
      <w:r w:rsidRPr="00777F66">
        <w:rPr>
          <w:rFonts w:cs="Arial"/>
          <w:b/>
          <w:szCs w:val="20"/>
        </w:rPr>
        <w:t>Example</w:t>
      </w:r>
      <w:r w:rsidR="00000771" w:rsidRPr="00777F66">
        <w:rPr>
          <w:rFonts w:cs="Arial"/>
          <w:b/>
          <w:szCs w:val="20"/>
        </w:rPr>
        <w:t>s</w:t>
      </w:r>
      <w:r w:rsidRPr="00777F66">
        <w:rPr>
          <w:rFonts w:cs="Arial"/>
          <w:b/>
          <w:szCs w:val="20"/>
        </w:rPr>
        <w:t>:</w:t>
      </w:r>
    </w:p>
    <w:p w:rsidR="00CC6DB2" w:rsidRPr="00777F66" w:rsidRDefault="00CC6DB2" w:rsidP="00CC6DB2">
      <w:pPr>
        <w:rPr>
          <w:rFonts w:cs="Arial"/>
          <w:b/>
          <w:szCs w:val="20"/>
        </w:rPr>
      </w:pPr>
    </w:p>
    <w:p w:rsidR="00CC6DB2" w:rsidRPr="00777F66" w:rsidRDefault="00CC6DB2" w:rsidP="00CC6DB2">
      <w:pPr>
        <w:ind w:firstLine="720"/>
        <w:rPr>
          <w:rFonts w:cs="Arial"/>
          <w:b/>
          <w:szCs w:val="20"/>
        </w:rPr>
      </w:pPr>
      <w:r w:rsidRPr="00777F66">
        <w:rPr>
          <w:rFonts w:cs="Arial"/>
          <w:b/>
          <w:szCs w:val="20"/>
        </w:rPr>
        <w:t>∆Watts/</w:t>
      </w:r>
      <w:r w:rsidR="00415F88" w:rsidRPr="00777F66">
        <w:rPr>
          <w:rFonts w:cs="Arial"/>
          <w:b/>
          <w:szCs w:val="20"/>
        </w:rPr>
        <w:t>f</w:t>
      </w:r>
      <w:r w:rsidR="00000771" w:rsidRPr="00777F66">
        <w:rPr>
          <w:rFonts w:cs="Arial"/>
          <w:b/>
          <w:szCs w:val="20"/>
        </w:rPr>
        <w:t>oot</w:t>
      </w:r>
      <w:r w:rsidR="00BF29F7" w:rsidRPr="00777F66">
        <w:rPr>
          <w:rFonts w:cs="Arial"/>
          <w:b/>
          <w:szCs w:val="20"/>
        </w:rPr>
        <w:t xml:space="preserve"> = </w:t>
      </w:r>
      <w:r w:rsidR="007C5C7F" w:rsidRPr="00777F66">
        <w:rPr>
          <w:rFonts w:cs="Arial"/>
          <w:b/>
          <w:szCs w:val="20"/>
        </w:rPr>
        <w:t>(</w:t>
      </w:r>
      <w:r w:rsidR="008F311C" w:rsidRPr="00777F66">
        <w:rPr>
          <w:rFonts w:cs="Arial"/>
          <w:b/>
          <w:szCs w:val="20"/>
        </w:rPr>
        <w:t>7.6</w:t>
      </w:r>
      <w:r w:rsidR="00000771" w:rsidRPr="00777F66">
        <w:rPr>
          <w:rFonts w:cs="Arial"/>
          <w:b/>
          <w:szCs w:val="20"/>
        </w:rPr>
        <w:t xml:space="preserve"> W</w:t>
      </w:r>
      <w:r w:rsidRPr="00777F66">
        <w:rPr>
          <w:rFonts w:cs="Arial"/>
          <w:b/>
          <w:szCs w:val="20"/>
        </w:rPr>
        <w:t xml:space="preserve"> – </w:t>
      </w:r>
      <w:r w:rsidR="00000771" w:rsidRPr="00777F66">
        <w:rPr>
          <w:rFonts w:cs="Arial"/>
          <w:b/>
          <w:szCs w:val="20"/>
        </w:rPr>
        <w:t>6 W</w:t>
      </w:r>
      <w:r w:rsidR="007C5C7F" w:rsidRPr="00777F66">
        <w:rPr>
          <w:rFonts w:cs="Arial"/>
          <w:b/>
          <w:szCs w:val="20"/>
        </w:rPr>
        <w:t>) x 137.4</w:t>
      </w:r>
      <w:r w:rsidR="00666B75" w:rsidRPr="00777F66">
        <w:rPr>
          <w:rFonts w:cs="Arial"/>
          <w:b/>
          <w:szCs w:val="20"/>
        </w:rPr>
        <w:t>%</w:t>
      </w:r>
      <w:r w:rsidR="007C5C7F" w:rsidRPr="00777F66">
        <w:rPr>
          <w:rFonts w:cs="Arial"/>
          <w:b/>
          <w:szCs w:val="20"/>
        </w:rPr>
        <w:t xml:space="preserve"> = </w:t>
      </w:r>
      <w:r w:rsidR="008F311C" w:rsidRPr="00777F66">
        <w:rPr>
          <w:rFonts w:cs="Arial"/>
          <w:b/>
          <w:szCs w:val="20"/>
        </w:rPr>
        <w:t>2.2</w:t>
      </w:r>
      <w:r w:rsidR="007C5C7F" w:rsidRPr="00777F66">
        <w:rPr>
          <w:rFonts w:cs="Arial"/>
          <w:b/>
          <w:szCs w:val="20"/>
        </w:rPr>
        <w:t xml:space="preserve"> ∆Watts/foot</w:t>
      </w:r>
    </w:p>
    <w:p w:rsidR="00000771" w:rsidRPr="00777F66" w:rsidRDefault="00000771" w:rsidP="00000771">
      <w:pPr>
        <w:ind w:firstLine="720"/>
        <w:rPr>
          <w:rFonts w:cs="Arial"/>
          <w:b/>
          <w:szCs w:val="20"/>
        </w:rPr>
      </w:pPr>
      <w:r w:rsidRPr="00777F66">
        <w:rPr>
          <w:rFonts w:cs="Arial"/>
          <w:b/>
          <w:szCs w:val="20"/>
        </w:rPr>
        <w:t xml:space="preserve">∆Watts/foot </w:t>
      </w:r>
      <w:r w:rsidR="001D268A" w:rsidRPr="00777F66">
        <w:rPr>
          <w:rFonts w:cs="Arial"/>
          <w:b/>
          <w:szCs w:val="20"/>
        </w:rPr>
        <w:t>(multiple lamp profile)</w:t>
      </w:r>
      <w:r w:rsidRPr="00777F66">
        <w:rPr>
          <w:rFonts w:cs="Arial"/>
          <w:b/>
          <w:szCs w:val="20"/>
        </w:rPr>
        <w:t xml:space="preserve">= </w:t>
      </w:r>
      <w:r w:rsidR="007C5C7F" w:rsidRPr="00777F66">
        <w:rPr>
          <w:rFonts w:cs="Arial"/>
          <w:b/>
          <w:szCs w:val="20"/>
        </w:rPr>
        <w:t>((2</w:t>
      </w:r>
      <w:r w:rsidR="008F311C" w:rsidRPr="00777F66">
        <w:rPr>
          <w:rFonts w:cs="Arial"/>
          <w:b/>
          <w:szCs w:val="20"/>
        </w:rPr>
        <w:t xml:space="preserve"> lamps </w:t>
      </w:r>
      <w:r w:rsidR="007C5C7F" w:rsidRPr="00777F66">
        <w:rPr>
          <w:rFonts w:cs="Arial"/>
          <w:b/>
          <w:szCs w:val="20"/>
        </w:rPr>
        <w:t>x 7.</w:t>
      </w:r>
      <w:r w:rsidR="008F311C" w:rsidRPr="00777F66">
        <w:rPr>
          <w:rFonts w:cs="Arial"/>
          <w:b/>
          <w:szCs w:val="20"/>
        </w:rPr>
        <w:t xml:space="preserve">6 </w:t>
      </w:r>
      <w:r w:rsidR="007C5C7F" w:rsidRPr="00777F66">
        <w:rPr>
          <w:rFonts w:cs="Arial"/>
          <w:b/>
          <w:szCs w:val="20"/>
        </w:rPr>
        <w:t>W)</w:t>
      </w:r>
      <w:r w:rsidRPr="00777F66">
        <w:rPr>
          <w:rFonts w:cs="Arial"/>
          <w:b/>
          <w:szCs w:val="20"/>
        </w:rPr>
        <w:t xml:space="preserve"> – 6 W</w:t>
      </w:r>
      <w:r w:rsidR="007C5C7F" w:rsidRPr="00777F66">
        <w:rPr>
          <w:rFonts w:cs="Arial"/>
          <w:b/>
          <w:szCs w:val="20"/>
        </w:rPr>
        <w:t>) x 137.4%</w:t>
      </w:r>
      <w:r w:rsidRPr="00777F66">
        <w:rPr>
          <w:rFonts w:cs="Arial"/>
          <w:b/>
          <w:szCs w:val="20"/>
        </w:rPr>
        <w:t xml:space="preserve"> = </w:t>
      </w:r>
      <w:r w:rsidR="007C5C7F" w:rsidRPr="00777F66">
        <w:rPr>
          <w:rFonts w:cs="Arial"/>
          <w:b/>
          <w:szCs w:val="20"/>
        </w:rPr>
        <w:t>2</w:t>
      </w:r>
      <w:r w:rsidR="008F311C" w:rsidRPr="00777F66">
        <w:rPr>
          <w:rFonts w:cs="Arial"/>
          <w:b/>
          <w:szCs w:val="20"/>
        </w:rPr>
        <w:t>0</w:t>
      </w:r>
      <w:r w:rsidR="007C5C7F" w:rsidRPr="00777F66">
        <w:rPr>
          <w:rFonts w:cs="Arial"/>
          <w:b/>
          <w:szCs w:val="20"/>
        </w:rPr>
        <w:t>.9</w:t>
      </w:r>
      <w:r w:rsidR="004D3DAB" w:rsidRPr="00777F66">
        <w:rPr>
          <w:rFonts w:cs="Arial"/>
          <w:b/>
          <w:szCs w:val="20"/>
        </w:rPr>
        <w:t xml:space="preserve"> </w:t>
      </w:r>
      <w:r w:rsidRPr="00777F66">
        <w:rPr>
          <w:rFonts w:cs="Arial"/>
          <w:b/>
          <w:szCs w:val="20"/>
        </w:rPr>
        <w:t>∆Watts/foot</w:t>
      </w:r>
    </w:p>
    <w:p w:rsidR="00000771" w:rsidRPr="00777F66" w:rsidRDefault="00000771" w:rsidP="00CC6DB2">
      <w:pPr>
        <w:ind w:firstLine="720"/>
        <w:rPr>
          <w:rFonts w:cs="Arial"/>
          <w:b/>
          <w:szCs w:val="20"/>
        </w:rPr>
      </w:pPr>
    </w:p>
    <w:p w:rsidR="00CC6DB2" w:rsidRPr="00777F66" w:rsidRDefault="00CC6DB2" w:rsidP="00CC6DB2">
      <w:pPr>
        <w:rPr>
          <w:rFonts w:cs="Arial"/>
          <w:b/>
          <w:szCs w:val="20"/>
        </w:rPr>
      </w:pPr>
    </w:p>
    <w:p w:rsidR="00126A4E" w:rsidRPr="00777F66" w:rsidRDefault="00B42822" w:rsidP="00CC6DB2">
      <w:pPr>
        <w:rPr>
          <w:rFonts w:cs="Arial"/>
          <w:b/>
          <w:szCs w:val="20"/>
        </w:rPr>
      </w:pPr>
      <w:r w:rsidRPr="00777F66">
        <w:rPr>
          <w:rFonts w:cs="Arial"/>
          <w:b/>
          <w:szCs w:val="20"/>
        </w:rPr>
        <w:t>Annual Electric</w:t>
      </w:r>
      <w:r w:rsidR="00126A4E" w:rsidRPr="00777F66">
        <w:rPr>
          <w:rFonts w:cs="Arial"/>
          <w:b/>
          <w:szCs w:val="20"/>
        </w:rPr>
        <w:t xml:space="preserve"> Savings:</w:t>
      </w:r>
    </w:p>
    <w:p w:rsidR="00126A4E" w:rsidRPr="00777F66" w:rsidRDefault="00126A4E" w:rsidP="00126A4E">
      <w:pPr>
        <w:ind w:left="720"/>
        <w:rPr>
          <w:rFonts w:cs="Arial"/>
          <w:szCs w:val="20"/>
        </w:rPr>
      </w:pPr>
    </w:p>
    <w:p w:rsidR="004542D1" w:rsidRPr="00777F66" w:rsidRDefault="004542D1" w:rsidP="004542D1">
      <w:pPr>
        <w:ind w:left="720"/>
        <w:rPr>
          <w:rFonts w:cs="Arial"/>
          <w:b/>
          <w:szCs w:val="20"/>
        </w:rPr>
      </w:pPr>
      <w:r w:rsidRPr="00777F66">
        <w:rPr>
          <w:rFonts w:cs="Arial"/>
          <w:b/>
          <w:szCs w:val="20"/>
        </w:rPr>
        <w:t xml:space="preserve">Annual Electric Savings= </w:t>
      </w:r>
      <w:r w:rsidR="00701B6D" w:rsidRPr="00777F66">
        <w:rPr>
          <w:rFonts w:cs="Arial"/>
          <w:b/>
          <w:szCs w:val="20"/>
        </w:rPr>
        <w:t>(</w:t>
      </w:r>
      <w:r w:rsidRPr="00777F66">
        <w:rPr>
          <w:rFonts w:cs="Arial"/>
          <w:b/>
          <w:szCs w:val="20"/>
        </w:rPr>
        <w:t>(∆Watts/f</w:t>
      </w:r>
      <w:r w:rsidR="00701B6D" w:rsidRPr="00777F66">
        <w:rPr>
          <w:rFonts w:cs="Arial"/>
          <w:b/>
          <w:szCs w:val="20"/>
        </w:rPr>
        <w:t>oot</w:t>
      </w:r>
      <w:r w:rsidRPr="00777F66">
        <w:rPr>
          <w:rFonts w:cs="Arial"/>
          <w:b/>
          <w:szCs w:val="20"/>
        </w:rPr>
        <w:t>)</w:t>
      </w:r>
      <w:r w:rsidR="00701B6D" w:rsidRPr="00777F66">
        <w:rPr>
          <w:rFonts w:cs="Arial"/>
          <w:b/>
          <w:szCs w:val="20"/>
        </w:rPr>
        <w:t xml:space="preserve"> x (</w:t>
      </w:r>
      <w:r w:rsidR="00B42521" w:rsidRPr="00777F66">
        <w:rPr>
          <w:rFonts w:cs="Arial"/>
          <w:b/>
          <w:szCs w:val="20"/>
        </w:rPr>
        <w:t xml:space="preserve">DEER 2011 </w:t>
      </w:r>
      <w:r w:rsidR="00701B6D" w:rsidRPr="00777F66">
        <w:rPr>
          <w:rFonts w:cs="Arial"/>
          <w:b/>
          <w:szCs w:val="20"/>
        </w:rPr>
        <w:t>Energy Interactive Effects)</w:t>
      </w:r>
      <w:r w:rsidRPr="00777F66">
        <w:rPr>
          <w:rFonts w:cs="Arial"/>
          <w:b/>
          <w:szCs w:val="20"/>
        </w:rPr>
        <w:t xml:space="preserve"> x (</w:t>
      </w:r>
      <w:r w:rsidR="00B42521" w:rsidRPr="00777F66">
        <w:rPr>
          <w:rFonts w:cs="Arial"/>
          <w:b/>
          <w:szCs w:val="20"/>
        </w:rPr>
        <w:t xml:space="preserve">DEER 2011 </w:t>
      </w:r>
      <w:r w:rsidRPr="00777F66">
        <w:rPr>
          <w:rFonts w:cs="Arial"/>
          <w:b/>
          <w:szCs w:val="20"/>
        </w:rPr>
        <w:t>Annual Hours of Operation)</w:t>
      </w:r>
      <w:r w:rsidR="00701B6D" w:rsidRPr="00777F66">
        <w:rPr>
          <w:rFonts w:cs="Arial"/>
          <w:b/>
          <w:szCs w:val="20"/>
        </w:rPr>
        <w:t>/ (1,000 Watts / kW)</w:t>
      </w:r>
    </w:p>
    <w:p w:rsidR="007866FA" w:rsidRPr="00777F66" w:rsidRDefault="007866FA" w:rsidP="00701B6D">
      <w:pPr>
        <w:rPr>
          <w:rFonts w:cs="Arial"/>
          <w:b/>
          <w:szCs w:val="20"/>
        </w:rPr>
      </w:pPr>
    </w:p>
    <w:p w:rsidR="007866FA" w:rsidRPr="00777F66" w:rsidRDefault="007866FA" w:rsidP="00701B6D">
      <w:pPr>
        <w:rPr>
          <w:rFonts w:cs="Arial"/>
          <w:b/>
          <w:szCs w:val="20"/>
        </w:rPr>
      </w:pPr>
    </w:p>
    <w:p w:rsidR="00701B6D" w:rsidRPr="00777F66" w:rsidRDefault="00701B6D" w:rsidP="00701B6D">
      <w:pPr>
        <w:rPr>
          <w:rFonts w:cs="Arial"/>
          <w:b/>
          <w:szCs w:val="20"/>
        </w:rPr>
      </w:pPr>
      <w:r w:rsidRPr="00777F66">
        <w:rPr>
          <w:rFonts w:cs="Arial"/>
          <w:b/>
          <w:szCs w:val="20"/>
        </w:rPr>
        <w:t>Example</w:t>
      </w:r>
      <w:r w:rsidR="00A55C9D" w:rsidRPr="00777F66">
        <w:rPr>
          <w:rFonts w:cs="Arial"/>
          <w:b/>
          <w:szCs w:val="20"/>
        </w:rPr>
        <w:t xml:space="preserve"> for GRO building type</w:t>
      </w:r>
      <w:r w:rsidRPr="00777F66">
        <w:rPr>
          <w:rFonts w:cs="Arial"/>
          <w:b/>
          <w:szCs w:val="20"/>
        </w:rPr>
        <w:t>:</w:t>
      </w:r>
    </w:p>
    <w:p w:rsidR="00701B6D" w:rsidRPr="00777F66" w:rsidRDefault="00701B6D" w:rsidP="00701B6D">
      <w:pPr>
        <w:rPr>
          <w:rFonts w:cs="Arial"/>
          <w:b/>
          <w:szCs w:val="20"/>
        </w:rPr>
      </w:pPr>
    </w:p>
    <w:p w:rsidR="00701B6D" w:rsidRPr="00777F66" w:rsidRDefault="00701B6D" w:rsidP="00701B6D">
      <w:pPr>
        <w:ind w:firstLine="720"/>
        <w:rPr>
          <w:rFonts w:cs="Arial"/>
          <w:b/>
          <w:szCs w:val="20"/>
        </w:rPr>
      </w:pPr>
      <w:r w:rsidRPr="00777F66">
        <w:rPr>
          <w:rFonts w:cs="Arial"/>
          <w:b/>
          <w:szCs w:val="20"/>
        </w:rPr>
        <w:t>Annual Electric Savings = ((</w:t>
      </w:r>
      <w:r w:rsidR="008F311C" w:rsidRPr="00777F66">
        <w:rPr>
          <w:rFonts w:cs="Arial"/>
          <w:b/>
          <w:szCs w:val="20"/>
        </w:rPr>
        <w:t>2.2</w:t>
      </w:r>
      <w:r w:rsidR="00A65C9E" w:rsidRPr="00777F66">
        <w:rPr>
          <w:rFonts w:cs="Arial"/>
          <w:b/>
          <w:szCs w:val="20"/>
        </w:rPr>
        <w:t xml:space="preserve"> ∆Watts/foot</w:t>
      </w:r>
      <w:r w:rsidR="00A65C9E" w:rsidRPr="00777F66" w:rsidDel="00A65C9E">
        <w:rPr>
          <w:rFonts w:cs="Arial"/>
          <w:b/>
          <w:szCs w:val="20"/>
        </w:rPr>
        <w:t xml:space="preserve"> </w:t>
      </w:r>
      <w:r w:rsidRPr="00777F66">
        <w:rPr>
          <w:rFonts w:cs="Arial"/>
          <w:b/>
          <w:szCs w:val="20"/>
        </w:rPr>
        <w:t xml:space="preserve">x </w:t>
      </w:r>
      <w:r w:rsidR="00A65C9E" w:rsidRPr="00777F66">
        <w:rPr>
          <w:rFonts w:cs="Arial"/>
          <w:b/>
          <w:szCs w:val="20"/>
        </w:rPr>
        <w:t xml:space="preserve">(0.93) x </w:t>
      </w:r>
      <w:r w:rsidRPr="00777F66">
        <w:rPr>
          <w:rFonts w:cs="Arial"/>
          <w:b/>
          <w:szCs w:val="20"/>
        </w:rPr>
        <w:t>(4,9</w:t>
      </w:r>
      <w:r w:rsidR="00FC5EC8" w:rsidRPr="00777F66">
        <w:rPr>
          <w:rFonts w:cs="Arial"/>
          <w:b/>
          <w:szCs w:val="20"/>
        </w:rPr>
        <w:t>1</w:t>
      </w:r>
      <w:r w:rsidRPr="00777F66">
        <w:rPr>
          <w:rFonts w:cs="Arial"/>
          <w:b/>
          <w:szCs w:val="20"/>
        </w:rPr>
        <w:t>0 Annual Hours of Operation)</w:t>
      </w:r>
      <w:r w:rsidR="00350841" w:rsidRPr="00777F66">
        <w:rPr>
          <w:rFonts w:cs="Arial"/>
          <w:b/>
          <w:szCs w:val="20"/>
        </w:rPr>
        <w:t xml:space="preserve"> </w:t>
      </w:r>
      <w:r w:rsidRPr="00777F66">
        <w:rPr>
          <w:rFonts w:cs="Arial"/>
          <w:b/>
          <w:szCs w:val="20"/>
        </w:rPr>
        <w:t>/</w:t>
      </w:r>
      <w:r w:rsidR="00350841" w:rsidRPr="00777F66">
        <w:rPr>
          <w:rFonts w:cs="Arial"/>
          <w:b/>
          <w:szCs w:val="20"/>
        </w:rPr>
        <w:t xml:space="preserve"> </w:t>
      </w:r>
      <w:r w:rsidRPr="00777F66">
        <w:rPr>
          <w:rFonts w:cs="Arial"/>
          <w:b/>
          <w:szCs w:val="20"/>
        </w:rPr>
        <w:t>1000</w:t>
      </w:r>
      <w:r w:rsidR="00A65C9E" w:rsidRPr="00777F66">
        <w:rPr>
          <w:rFonts w:cs="Arial"/>
          <w:b/>
          <w:szCs w:val="20"/>
        </w:rPr>
        <w:t xml:space="preserve"> Watts/kW</w:t>
      </w:r>
      <w:r w:rsidRPr="00777F66">
        <w:rPr>
          <w:rFonts w:cs="Arial"/>
          <w:b/>
          <w:szCs w:val="20"/>
        </w:rPr>
        <w:t xml:space="preserve">) = </w:t>
      </w:r>
      <w:r w:rsidR="008F311C" w:rsidRPr="00777F66">
        <w:rPr>
          <w:rFonts w:cs="Arial"/>
          <w:b/>
          <w:szCs w:val="20"/>
        </w:rPr>
        <w:t>10.0</w:t>
      </w:r>
      <w:r w:rsidRPr="00777F66">
        <w:rPr>
          <w:rFonts w:cs="Arial"/>
          <w:b/>
          <w:szCs w:val="20"/>
        </w:rPr>
        <w:t xml:space="preserve">kWh </w:t>
      </w:r>
    </w:p>
    <w:p w:rsidR="004542D1" w:rsidRPr="00777F66" w:rsidRDefault="004542D1" w:rsidP="004542D1">
      <w:pPr>
        <w:ind w:left="720"/>
        <w:rPr>
          <w:rFonts w:cs="Arial"/>
          <w:b/>
          <w:szCs w:val="20"/>
        </w:rPr>
      </w:pPr>
    </w:p>
    <w:p w:rsidR="00665ED6" w:rsidRPr="00777F66" w:rsidRDefault="00665ED6" w:rsidP="00AA7532">
      <w:pPr>
        <w:ind w:left="3600" w:firstLine="720"/>
        <w:rPr>
          <w:rFonts w:cs="Arial"/>
          <w:b/>
          <w:szCs w:val="20"/>
        </w:rPr>
      </w:pPr>
    </w:p>
    <w:p w:rsidR="004542D1" w:rsidRPr="00777F66" w:rsidRDefault="00665ED6" w:rsidP="004542D1">
      <w:pPr>
        <w:ind w:left="720"/>
        <w:rPr>
          <w:rFonts w:cs="Arial"/>
          <w:b/>
          <w:szCs w:val="20"/>
        </w:rPr>
      </w:pPr>
      <w:r w:rsidRPr="00777F66">
        <w:rPr>
          <w:rFonts w:cs="Arial"/>
          <w:b/>
          <w:szCs w:val="20"/>
        </w:rPr>
        <w:t xml:space="preserve">For the Upstream/Midstream program instead of the “Com” building type hours of operation and interactive effects the “GRO” building type </w:t>
      </w:r>
      <w:r w:rsidR="00714D64" w:rsidRPr="00777F66">
        <w:rPr>
          <w:rFonts w:cs="Arial"/>
          <w:b/>
          <w:szCs w:val="20"/>
        </w:rPr>
        <w:t>hours of operation and interactive effects are</w:t>
      </w:r>
      <w:r w:rsidRPr="00777F66">
        <w:rPr>
          <w:rFonts w:cs="Arial"/>
          <w:b/>
          <w:szCs w:val="20"/>
        </w:rPr>
        <w:t xml:space="preserve"> used since for this measure “GRO” is the most </w:t>
      </w:r>
      <w:r w:rsidR="00023127" w:rsidRPr="00777F66">
        <w:rPr>
          <w:rFonts w:cs="Arial"/>
          <w:b/>
          <w:szCs w:val="20"/>
        </w:rPr>
        <w:t>common</w:t>
      </w:r>
      <w:r w:rsidRPr="00777F66">
        <w:rPr>
          <w:rFonts w:cs="Arial"/>
          <w:b/>
          <w:szCs w:val="20"/>
        </w:rPr>
        <w:t xml:space="preserve"> building type.</w:t>
      </w:r>
    </w:p>
    <w:p w:rsidR="00C069A2" w:rsidRPr="00777F66" w:rsidRDefault="0030550A" w:rsidP="002E0043">
      <w:pPr>
        <w:pStyle w:val="Heading2"/>
        <w:keepNext w:val="0"/>
      </w:pPr>
      <w:bookmarkStart w:id="38" w:name="_Toc437853355"/>
      <w:r w:rsidRPr="00777F66">
        <w:t>2.2. Demand R</w:t>
      </w:r>
      <w:r w:rsidR="00C069A2" w:rsidRPr="00777F66">
        <w:t>eduction Estimation Methodologies</w:t>
      </w:r>
      <w:bookmarkEnd w:id="38"/>
    </w:p>
    <w:p w:rsidR="00CF3FF0" w:rsidRPr="00777F66" w:rsidRDefault="00CF3FF0" w:rsidP="00EB46D0">
      <w:pPr>
        <w:rPr>
          <w:rFonts w:cs="Arial"/>
          <w:szCs w:val="20"/>
        </w:rPr>
      </w:pPr>
    </w:p>
    <w:p w:rsidR="00044570" w:rsidRPr="00777F66" w:rsidRDefault="00044570" w:rsidP="00CF3FF0">
      <w:pPr>
        <w:numPr>
          <w:ilvl w:val="0"/>
          <w:numId w:val="15"/>
        </w:numPr>
        <w:tabs>
          <w:tab w:val="clear" w:pos="1440"/>
          <w:tab w:val="num" w:pos="360"/>
        </w:tabs>
        <w:ind w:left="360"/>
        <w:rPr>
          <w:rFonts w:cs="Arial"/>
          <w:i/>
          <w:szCs w:val="20"/>
        </w:rPr>
      </w:pPr>
      <w:r w:rsidRPr="00777F66">
        <w:rPr>
          <w:rFonts w:cs="Arial"/>
          <w:szCs w:val="20"/>
        </w:rPr>
        <w:t>This measure includes HVAC interactive effects savings.</w:t>
      </w:r>
    </w:p>
    <w:p w:rsidR="00A95746" w:rsidRPr="00777F66" w:rsidRDefault="00A95746" w:rsidP="00A95746">
      <w:pPr>
        <w:numPr>
          <w:ilvl w:val="0"/>
          <w:numId w:val="15"/>
        </w:numPr>
        <w:tabs>
          <w:tab w:val="clear" w:pos="1440"/>
        </w:tabs>
        <w:ind w:left="360"/>
        <w:rPr>
          <w:rFonts w:cs="Arial"/>
          <w:i/>
          <w:szCs w:val="20"/>
        </w:rPr>
      </w:pPr>
      <w:r w:rsidRPr="00777F66">
        <w:rPr>
          <w:rFonts w:cs="Arial"/>
          <w:szCs w:val="20"/>
        </w:rPr>
        <w:t xml:space="preserve">This measure </w:t>
      </w:r>
      <w:r w:rsidR="00A209A2" w:rsidRPr="00777F66">
        <w:rPr>
          <w:rFonts w:cs="Arial"/>
          <w:szCs w:val="20"/>
        </w:rPr>
        <w:t>is</w:t>
      </w:r>
      <w:r w:rsidRPr="00777F66">
        <w:rPr>
          <w:rFonts w:cs="Arial"/>
          <w:szCs w:val="20"/>
        </w:rPr>
        <w:t xml:space="preserve"> not an Early Retirement measure. </w:t>
      </w:r>
    </w:p>
    <w:p w:rsidR="00044570" w:rsidRPr="00777F66" w:rsidRDefault="00044570" w:rsidP="00EB46D0">
      <w:pPr>
        <w:rPr>
          <w:rFonts w:cs="Arial"/>
          <w:i/>
          <w:szCs w:val="20"/>
        </w:rPr>
      </w:pPr>
    </w:p>
    <w:p w:rsidR="00EB46D0" w:rsidRPr="00777F66" w:rsidRDefault="00EB46D0" w:rsidP="00CF3FF0">
      <w:pPr>
        <w:rPr>
          <w:rFonts w:cs="Arial"/>
          <w:szCs w:val="20"/>
        </w:rPr>
      </w:pPr>
      <w:r w:rsidRPr="00777F66">
        <w:rPr>
          <w:rFonts w:cs="Arial"/>
          <w:b/>
          <w:szCs w:val="20"/>
        </w:rPr>
        <w:t>∆Watts/</w:t>
      </w:r>
      <w:r w:rsidR="00F231B9" w:rsidRPr="00777F66">
        <w:rPr>
          <w:rFonts w:cs="Arial"/>
          <w:b/>
          <w:szCs w:val="20"/>
        </w:rPr>
        <w:t>foot</w:t>
      </w:r>
      <w:r w:rsidRPr="00777F66">
        <w:rPr>
          <w:rFonts w:cs="Arial"/>
          <w:b/>
          <w:szCs w:val="20"/>
        </w:rPr>
        <w:t>:</w:t>
      </w:r>
      <w:r w:rsidR="00CF3FF0" w:rsidRPr="00777F66">
        <w:rPr>
          <w:rFonts w:cs="Arial"/>
          <w:b/>
          <w:szCs w:val="20"/>
        </w:rPr>
        <w:t xml:space="preserve"> </w:t>
      </w:r>
      <w:r w:rsidRPr="00777F66">
        <w:rPr>
          <w:rFonts w:cs="Arial"/>
          <w:szCs w:val="20"/>
        </w:rPr>
        <w:t xml:space="preserve">The demand difference (watts per </w:t>
      </w:r>
      <w:r w:rsidR="00DA6784" w:rsidRPr="00777F66">
        <w:rPr>
          <w:rFonts w:cs="Arial"/>
          <w:szCs w:val="20"/>
        </w:rPr>
        <w:t>foot</w:t>
      </w:r>
      <w:r w:rsidRPr="00777F66">
        <w:rPr>
          <w:rFonts w:cs="Arial"/>
          <w:szCs w:val="20"/>
        </w:rPr>
        <w:t xml:space="preserve">) is simply the difference between the </w:t>
      </w:r>
      <w:r w:rsidR="00DA6784" w:rsidRPr="00777F66">
        <w:rPr>
          <w:rFonts w:cs="Arial"/>
          <w:szCs w:val="20"/>
        </w:rPr>
        <w:t>base fixture’s watts/foot and the electric demand of the energy efficient fixture in watts/foot, all multiplied by the compressor savings factor of 137.4%.</w:t>
      </w:r>
    </w:p>
    <w:p w:rsidR="00EB46D0" w:rsidRPr="00777F66" w:rsidRDefault="00EB46D0" w:rsidP="00EB46D0">
      <w:pPr>
        <w:ind w:left="720"/>
        <w:rPr>
          <w:rFonts w:cs="Arial"/>
          <w:i/>
          <w:szCs w:val="20"/>
        </w:rPr>
      </w:pPr>
    </w:p>
    <w:p w:rsidR="00AA7532" w:rsidRPr="00777F66" w:rsidRDefault="00AA7532" w:rsidP="00AA7532">
      <w:pPr>
        <w:ind w:left="720"/>
        <w:rPr>
          <w:rFonts w:cs="Arial"/>
          <w:b/>
          <w:szCs w:val="20"/>
        </w:rPr>
      </w:pPr>
      <w:r w:rsidRPr="00777F66">
        <w:rPr>
          <w:rFonts w:cs="Arial"/>
          <w:b/>
          <w:szCs w:val="20"/>
        </w:rPr>
        <w:t>∆Watts/foot = (Base Case Watts/foot - Measure Case Watts/foot) x Compressor Savings Factor</w:t>
      </w:r>
    </w:p>
    <w:p w:rsidR="00E23EC3" w:rsidRPr="00777F66" w:rsidRDefault="00E23EC3" w:rsidP="00CC34FF">
      <w:pPr>
        <w:ind w:left="720"/>
        <w:rPr>
          <w:rFonts w:cs="Arial"/>
          <w:b/>
          <w:szCs w:val="20"/>
          <w:u w:val="single"/>
        </w:rPr>
      </w:pPr>
    </w:p>
    <w:p w:rsidR="00E23EC3" w:rsidRPr="00777F66" w:rsidRDefault="00E23EC3" w:rsidP="00E23EC3">
      <w:pPr>
        <w:rPr>
          <w:rFonts w:cs="Arial"/>
          <w:b/>
          <w:szCs w:val="20"/>
        </w:rPr>
      </w:pPr>
      <w:r w:rsidRPr="00777F66">
        <w:rPr>
          <w:rFonts w:cs="Arial"/>
          <w:b/>
          <w:szCs w:val="20"/>
        </w:rPr>
        <w:t>Where:</w:t>
      </w:r>
    </w:p>
    <w:p w:rsidR="00666B75" w:rsidRPr="00777F66" w:rsidRDefault="00666B75" w:rsidP="00666B75">
      <w:pPr>
        <w:ind w:left="576"/>
        <w:rPr>
          <w:rFonts w:cs="Arial"/>
          <w:b/>
          <w:szCs w:val="20"/>
        </w:rPr>
      </w:pPr>
      <w:r w:rsidRPr="00777F66">
        <w:rPr>
          <w:rFonts w:cs="Arial"/>
          <w:b/>
          <w:szCs w:val="20"/>
        </w:rPr>
        <w:t xml:space="preserve">Base Case watts/foot varies between </w:t>
      </w:r>
      <w:r w:rsidR="0020282A" w:rsidRPr="00777F66">
        <w:rPr>
          <w:rFonts w:cs="Arial"/>
          <w:b/>
          <w:szCs w:val="20"/>
        </w:rPr>
        <w:t>7.6</w:t>
      </w:r>
      <w:r w:rsidRPr="00777F66">
        <w:rPr>
          <w:rFonts w:cs="Arial"/>
          <w:b/>
          <w:szCs w:val="20"/>
        </w:rPr>
        <w:t xml:space="preserve"> W and </w:t>
      </w:r>
      <w:r w:rsidR="0020282A" w:rsidRPr="00777F66">
        <w:rPr>
          <w:rFonts w:cs="Arial"/>
          <w:b/>
          <w:szCs w:val="20"/>
        </w:rPr>
        <w:t>36.3</w:t>
      </w:r>
      <w:r w:rsidRPr="00777F66">
        <w:rPr>
          <w:rFonts w:cs="Arial"/>
          <w:b/>
          <w:szCs w:val="20"/>
        </w:rPr>
        <w:t xml:space="preserve"> W, representing the watts per foot of a fluorescent system that is either T8 or T12, and either single-lamp profile or multiple-lamp profile.  For this workpaper, every multiple lamp profile configuration is treated conservatively as 2-lamp profile, even though field surveys have shown that 3-lamp profile system do exist.</w:t>
      </w:r>
    </w:p>
    <w:p w:rsidR="00EB46D0" w:rsidRPr="00777F66" w:rsidRDefault="00EB46D0" w:rsidP="00EB46D0">
      <w:pPr>
        <w:rPr>
          <w:rFonts w:cs="Arial"/>
          <w:i/>
          <w:szCs w:val="20"/>
        </w:rPr>
      </w:pPr>
    </w:p>
    <w:p w:rsidR="003F3DED" w:rsidRPr="00777F66" w:rsidRDefault="003F3DED" w:rsidP="003F3DED">
      <w:pPr>
        <w:rPr>
          <w:rFonts w:cs="Arial"/>
          <w:b/>
          <w:szCs w:val="20"/>
        </w:rPr>
      </w:pPr>
      <w:r w:rsidRPr="00777F66">
        <w:rPr>
          <w:rFonts w:cs="Arial"/>
          <w:b/>
          <w:szCs w:val="20"/>
        </w:rPr>
        <w:t>Demand Reduction:</w:t>
      </w:r>
    </w:p>
    <w:p w:rsidR="003F3DED" w:rsidRPr="00777F66" w:rsidRDefault="003F3DED" w:rsidP="003F3DED">
      <w:pPr>
        <w:ind w:left="720"/>
        <w:rPr>
          <w:rFonts w:cs="Arial"/>
          <w:i/>
          <w:szCs w:val="20"/>
        </w:rPr>
      </w:pPr>
    </w:p>
    <w:p w:rsidR="003F3DED" w:rsidRPr="00777F66" w:rsidRDefault="003F3DED" w:rsidP="003F3DED">
      <w:pPr>
        <w:ind w:left="720"/>
        <w:rPr>
          <w:rFonts w:cs="Arial"/>
          <w:b/>
          <w:szCs w:val="20"/>
        </w:rPr>
      </w:pPr>
      <w:r w:rsidRPr="00777F66">
        <w:rPr>
          <w:rFonts w:cs="Arial"/>
          <w:b/>
          <w:szCs w:val="20"/>
        </w:rPr>
        <w:t>Demand Reduction [kW/</w:t>
      </w:r>
      <w:r w:rsidR="003F4204" w:rsidRPr="00777F66">
        <w:rPr>
          <w:rFonts w:cs="Arial"/>
          <w:b/>
          <w:szCs w:val="20"/>
        </w:rPr>
        <w:t>foot</w:t>
      </w:r>
      <w:r w:rsidRPr="00777F66">
        <w:rPr>
          <w:rFonts w:cs="Arial"/>
          <w:b/>
          <w:szCs w:val="20"/>
        </w:rPr>
        <w:t>] = (</w:t>
      </w:r>
      <w:r w:rsidR="00CC34FF" w:rsidRPr="00777F66">
        <w:rPr>
          <w:rFonts w:cs="Arial"/>
          <w:b/>
          <w:szCs w:val="20"/>
        </w:rPr>
        <w:t>∆Watts/</w:t>
      </w:r>
      <w:r w:rsidR="003F4204" w:rsidRPr="00777F66">
        <w:rPr>
          <w:rFonts w:cs="Arial"/>
          <w:b/>
          <w:szCs w:val="20"/>
        </w:rPr>
        <w:t>foot</w:t>
      </w:r>
      <w:r w:rsidR="00CC34FF" w:rsidRPr="00777F66">
        <w:rPr>
          <w:rFonts w:cs="Arial"/>
          <w:b/>
          <w:szCs w:val="20"/>
        </w:rPr>
        <w:t>) x</w:t>
      </w:r>
      <w:r w:rsidRPr="00777F66">
        <w:rPr>
          <w:rFonts w:cs="Arial"/>
          <w:b/>
          <w:szCs w:val="20"/>
        </w:rPr>
        <w:t xml:space="preserve"> (</w:t>
      </w:r>
      <w:r w:rsidR="00350841" w:rsidRPr="00777F66">
        <w:rPr>
          <w:rFonts w:cs="Arial"/>
          <w:b/>
          <w:szCs w:val="20"/>
        </w:rPr>
        <w:t xml:space="preserve">DEER 2011 </w:t>
      </w:r>
      <w:r w:rsidR="00BB4412" w:rsidRPr="00777F66">
        <w:rPr>
          <w:rFonts w:cs="Arial"/>
          <w:b/>
          <w:szCs w:val="20"/>
        </w:rPr>
        <w:t>L</w:t>
      </w:r>
      <w:r w:rsidR="00AD322C" w:rsidRPr="00777F66">
        <w:rPr>
          <w:rFonts w:cs="Arial"/>
          <w:b/>
          <w:szCs w:val="20"/>
        </w:rPr>
        <w:t xml:space="preserve">ighting </w:t>
      </w:r>
      <w:r w:rsidR="00BB4412" w:rsidRPr="00777F66">
        <w:rPr>
          <w:rFonts w:cs="Arial"/>
          <w:b/>
          <w:szCs w:val="20"/>
        </w:rPr>
        <w:t>C</w:t>
      </w:r>
      <w:r w:rsidR="00AD322C" w:rsidRPr="00777F66">
        <w:rPr>
          <w:rFonts w:cs="Arial"/>
          <w:b/>
          <w:szCs w:val="20"/>
        </w:rPr>
        <w:t xml:space="preserve">oincident </w:t>
      </w:r>
      <w:r w:rsidR="00BB4412" w:rsidRPr="00777F66">
        <w:rPr>
          <w:rFonts w:cs="Arial"/>
          <w:b/>
          <w:szCs w:val="20"/>
        </w:rPr>
        <w:t>D</w:t>
      </w:r>
      <w:r w:rsidR="00AD322C" w:rsidRPr="00777F66">
        <w:rPr>
          <w:rFonts w:cs="Arial"/>
          <w:b/>
          <w:szCs w:val="20"/>
        </w:rPr>
        <w:t>emand</w:t>
      </w:r>
      <w:r w:rsidR="00BB4412" w:rsidRPr="00777F66">
        <w:rPr>
          <w:rFonts w:cs="Arial"/>
          <w:b/>
          <w:szCs w:val="20"/>
        </w:rPr>
        <w:t>)</w:t>
      </w:r>
      <w:r w:rsidR="00AD322C" w:rsidRPr="00777F66">
        <w:rPr>
          <w:rFonts w:cs="Arial"/>
          <w:b/>
          <w:szCs w:val="20"/>
        </w:rPr>
        <w:t xml:space="preserve"> x </w:t>
      </w:r>
      <w:r w:rsidR="00BB4412" w:rsidRPr="00777F66">
        <w:rPr>
          <w:rFonts w:cs="Arial"/>
          <w:b/>
          <w:szCs w:val="20"/>
        </w:rPr>
        <w:t>(</w:t>
      </w:r>
      <w:r w:rsidR="00350841" w:rsidRPr="00777F66">
        <w:rPr>
          <w:rFonts w:cs="Arial"/>
          <w:b/>
          <w:szCs w:val="20"/>
        </w:rPr>
        <w:t xml:space="preserve">DEER 2011 </w:t>
      </w:r>
      <w:r w:rsidR="00BB4412" w:rsidRPr="00777F66">
        <w:rPr>
          <w:rFonts w:cs="Arial"/>
          <w:b/>
          <w:szCs w:val="20"/>
        </w:rPr>
        <w:t>D</w:t>
      </w:r>
      <w:r w:rsidR="00AD322C" w:rsidRPr="00777F66">
        <w:rPr>
          <w:rFonts w:cs="Arial"/>
          <w:b/>
          <w:szCs w:val="20"/>
        </w:rPr>
        <w:t xml:space="preserve">emand </w:t>
      </w:r>
      <w:r w:rsidR="00BB4412" w:rsidRPr="00777F66">
        <w:rPr>
          <w:rFonts w:cs="Arial"/>
          <w:b/>
          <w:szCs w:val="20"/>
        </w:rPr>
        <w:t>I</w:t>
      </w:r>
      <w:r w:rsidR="00AD322C" w:rsidRPr="00777F66">
        <w:rPr>
          <w:rFonts w:cs="Arial"/>
          <w:b/>
          <w:szCs w:val="20"/>
        </w:rPr>
        <w:t xml:space="preserve">nteractive </w:t>
      </w:r>
      <w:r w:rsidR="00BB4412" w:rsidRPr="00777F66">
        <w:rPr>
          <w:rFonts w:cs="Arial"/>
          <w:b/>
          <w:szCs w:val="20"/>
        </w:rPr>
        <w:t>E</w:t>
      </w:r>
      <w:r w:rsidR="00AD322C" w:rsidRPr="00777F66">
        <w:rPr>
          <w:rFonts w:cs="Arial"/>
          <w:b/>
          <w:szCs w:val="20"/>
        </w:rPr>
        <w:t>ffects</w:t>
      </w:r>
      <w:r w:rsidR="00794E75" w:rsidRPr="00777F66">
        <w:rPr>
          <w:rFonts w:cs="Arial"/>
          <w:b/>
          <w:szCs w:val="20"/>
        </w:rPr>
        <w:t>) /</w:t>
      </w:r>
      <w:r w:rsidRPr="00777F66">
        <w:rPr>
          <w:rFonts w:cs="Arial"/>
          <w:b/>
          <w:szCs w:val="20"/>
        </w:rPr>
        <w:t xml:space="preserve"> </w:t>
      </w:r>
      <w:r w:rsidR="00794E75" w:rsidRPr="00777F66">
        <w:rPr>
          <w:rFonts w:cs="Arial"/>
          <w:b/>
          <w:szCs w:val="20"/>
        </w:rPr>
        <w:t>(</w:t>
      </w:r>
      <w:r w:rsidRPr="00777F66">
        <w:rPr>
          <w:rFonts w:cs="Arial"/>
          <w:b/>
          <w:szCs w:val="20"/>
        </w:rPr>
        <w:t>1,000 Watts/kW</w:t>
      </w:r>
      <w:r w:rsidR="00794E75" w:rsidRPr="00777F66">
        <w:rPr>
          <w:rFonts w:cs="Arial"/>
          <w:b/>
          <w:szCs w:val="20"/>
        </w:rPr>
        <w:t>)</w:t>
      </w:r>
    </w:p>
    <w:p w:rsidR="00DF284F" w:rsidRPr="00777F66" w:rsidRDefault="00DF284F" w:rsidP="003F3DED">
      <w:pPr>
        <w:ind w:left="720"/>
        <w:rPr>
          <w:rFonts w:cs="Arial"/>
          <w:b/>
          <w:szCs w:val="20"/>
        </w:rPr>
      </w:pPr>
    </w:p>
    <w:p w:rsidR="00A65C9E" w:rsidRPr="00777F66" w:rsidRDefault="00A65C9E" w:rsidP="00A65C9E">
      <w:pPr>
        <w:rPr>
          <w:rFonts w:cs="Arial"/>
          <w:b/>
          <w:szCs w:val="20"/>
        </w:rPr>
      </w:pPr>
      <w:r w:rsidRPr="00777F66">
        <w:rPr>
          <w:rFonts w:cs="Arial"/>
          <w:b/>
          <w:szCs w:val="20"/>
        </w:rPr>
        <w:t>Example for GRO building type:</w:t>
      </w:r>
    </w:p>
    <w:p w:rsidR="00DF284F" w:rsidRPr="00777F66" w:rsidRDefault="00DF284F" w:rsidP="00DF284F">
      <w:pPr>
        <w:rPr>
          <w:rFonts w:cs="Arial"/>
          <w:b/>
          <w:szCs w:val="20"/>
        </w:rPr>
      </w:pPr>
    </w:p>
    <w:p w:rsidR="00350841" w:rsidRPr="00777F66" w:rsidRDefault="00350841" w:rsidP="00350841">
      <w:pPr>
        <w:ind w:firstLine="720"/>
        <w:rPr>
          <w:rFonts w:cs="Arial"/>
          <w:b/>
          <w:szCs w:val="20"/>
        </w:rPr>
      </w:pPr>
      <w:r w:rsidRPr="00777F66">
        <w:rPr>
          <w:rFonts w:cs="Arial"/>
          <w:b/>
          <w:szCs w:val="20"/>
        </w:rPr>
        <w:t>∆Watts/foot = (</w:t>
      </w:r>
      <w:r w:rsidR="008F311C" w:rsidRPr="00777F66">
        <w:rPr>
          <w:rFonts w:cs="Arial"/>
          <w:b/>
          <w:szCs w:val="20"/>
        </w:rPr>
        <w:t>7.6</w:t>
      </w:r>
      <w:r w:rsidRPr="00777F66">
        <w:rPr>
          <w:rFonts w:cs="Arial"/>
          <w:b/>
          <w:szCs w:val="20"/>
        </w:rPr>
        <w:t xml:space="preserve"> W – 6 W) x 137.4% = </w:t>
      </w:r>
      <w:r w:rsidR="008F311C" w:rsidRPr="00777F66">
        <w:rPr>
          <w:rFonts w:cs="Arial"/>
          <w:b/>
          <w:szCs w:val="20"/>
        </w:rPr>
        <w:t>2.2</w:t>
      </w:r>
      <w:r w:rsidRPr="00777F66">
        <w:rPr>
          <w:rFonts w:cs="Arial"/>
          <w:b/>
          <w:szCs w:val="20"/>
        </w:rPr>
        <w:t xml:space="preserve"> ∆Watts/foot</w:t>
      </w:r>
    </w:p>
    <w:p w:rsidR="00350841" w:rsidRPr="00777F66" w:rsidRDefault="00350841" w:rsidP="001416D2">
      <w:pPr>
        <w:ind w:firstLine="720"/>
        <w:rPr>
          <w:rFonts w:cs="Arial"/>
          <w:b/>
          <w:szCs w:val="20"/>
        </w:rPr>
      </w:pPr>
      <w:r w:rsidRPr="00777F66">
        <w:rPr>
          <w:rFonts w:cs="Arial"/>
          <w:b/>
          <w:szCs w:val="20"/>
        </w:rPr>
        <w:t xml:space="preserve">Demand Reduction [kW/foot] </w:t>
      </w:r>
      <w:r w:rsidR="001416D2" w:rsidRPr="00777F66">
        <w:rPr>
          <w:rFonts w:cs="Arial"/>
          <w:b/>
          <w:szCs w:val="20"/>
        </w:rPr>
        <w:t xml:space="preserve"> = </w:t>
      </w:r>
      <w:r w:rsidR="00666B75" w:rsidRPr="00777F66">
        <w:rPr>
          <w:rFonts w:cs="Arial"/>
          <w:b/>
          <w:szCs w:val="20"/>
        </w:rPr>
        <w:t>(</w:t>
      </w:r>
      <w:r w:rsidR="008F311C" w:rsidRPr="00777F66">
        <w:rPr>
          <w:rFonts w:cs="Arial"/>
          <w:b/>
          <w:szCs w:val="20"/>
        </w:rPr>
        <w:t>2.2</w:t>
      </w:r>
      <w:r w:rsidR="00A65C9E" w:rsidRPr="00777F66">
        <w:rPr>
          <w:rFonts w:cs="Arial"/>
          <w:b/>
          <w:szCs w:val="20"/>
        </w:rPr>
        <w:t xml:space="preserve"> ∆Watts/foot</w:t>
      </w:r>
      <w:r w:rsidR="00666B75" w:rsidRPr="00777F66">
        <w:rPr>
          <w:rFonts w:cs="Arial"/>
          <w:b/>
          <w:szCs w:val="20"/>
        </w:rPr>
        <w:t xml:space="preserve">) x </w:t>
      </w:r>
      <w:r w:rsidR="00A65C9E" w:rsidRPr="00777F66">
        <w:rPr>
          <w:rFonts w:cs="Arial"/>
          <w:b/>
          <w:szCs w:val="20"/>
        </w:rPr>
        <w:t>0.69</w:t>
      </w:r>
      <w:r w:rsidRPr="00777F66">
        <w:rPr>
          <w:rFonts w:cs="Arial"/>
          <w:b/>
          <w:szCs w:val="20"/>
        </w:rPr>
        <w:t xml:space="preserve"> </w:t>
      </w:r>
      <w:r w:rsidR="00A65C9E" w:rsidRPr="00777F66">
        <w:rPr>
          <w:rFonts w:cs="Arial"/>
          <w:b/>
          <w:szCs w:val="20"/>
        </w:rPr>
        <w:t>x 1.27</w:t>
      </w:r>
      <w:r w:rsidRPr="00777F66">
        <w:rPr>
          <w:rFonts w:cs="Arial"/>
          <w:b/>
          <w:szCs w:val="20"/>
        </w:rPr>
        <w:t xml:space="preserve"> </w:t>
      </w:r>
      <w:r w:rsidR="00A65C9E" w:rsidRPr="00777F66">
        <w:rPr>
          <w:rFonts w:cs="Arial"/>
          <w:b/>
          <w:szCs w:val="20"/>
        </w:rPr>
        <w:t>/ (1,000 Watts/kW</w:t>
      </w:r>
    </w:p>
    <w:p w:rsidR="001416D2" w:rsidRPr="00777F66" w:rsidRDefault="00666B75" w:rsidP="001416D2">
      <w:pPr>
        <w:ind w:firstLine="720"/>
        <w:rPr>
          <w:rFonts w:cs="Arial"/>
          <w:b/>
          <w:szCs w:val="20"/>
        </w:rPr>
      </w:pPr>
      <w:r w:rsidRPr="00777F66">
        <w:rPr>
          <w:rFonts w:cs="Arial"/>
          <w:b/>
          <w:szCs w:val="20"/>
        </w:rPr>
        <w:t xml:space="preserve">= </w:t>
      </w:r>
      <w:r w:rsidR="008F311C" w:rsidRPr="00777F66">
        <w:rPr>
          <w:rFonts w:cs="Arial"/>
          <w:b/>
          <w:szCs w:val="20"/>
        </w:rPr>
        <w:t>1.94</w:t>
      </w:r>
      <w:r w:rsidR="00350841" w:rsidRPr="00777F66">
        <w:rPr>
          <w:rFonts w:cs="Arial"/>
          <w:b/>
          <w:szCs w:val="20"/>
        </w:rPr>
        <w:t xml:space="preserve"> kW</w:t>
      </w:r>
    </w:p>
    <w:p w:rsidR="00FD0D3F" w:rsidRPr="00777F66" w:rsidRDefault="00FD0D3F" w:rsidP="001416D2">
      <w:pPr>
        <w:ind w:firstLine="720"/>
        <w:rPr>
          <w:rFonts w:cs="Arial"/>
          <w:b/>
          <w:szCs w:val="20"/>
        </w:rPr>
      </w:pPr>
    </w:p>
    <w:p w:rsidR="00FB275E" w:rsidRPr="00777F66" w:rsidRDefault="00FB275E" w:rsidP="00FB275E">
      <w:pPr>
        <w:ind w:left="720"/>
        <w:rPr>
          <w:rFonts w:cs="Arial"/>
          <w:b/>
          <w:szCs w:val="20"/>
        </w:rPr>
      </w:pPr>
      <w:r w:rsidRPr="00777F66">
        <w:rPr>
          <w:rFonts w:cs="Arial"/>
          <w:b/>
          <w:szCs w:val="20"/>
        </w:rPr>
        <w:t xml:space="preserve">For the Upstream/Midstream program instead of the “Com” building type </w:t>
      </w:r>
      <w:r w:rsidR="005E29BD" w:rsidRPr="00777F66">
        <w:rPr>
          <w:rFonts w:cs="Arial"/>
          <w:b/>
          <w:szCs w:val="20"/>
        </w:rPr>
        <w:t xml:space="preserve">Coincident demand factor and </w:t>
      </w:r>
      <w:r w:rsidRPr="00777F66">
        <w:rPr>
          <w:rFonts w:cs="Arial"/>
          <w:b/>
          <w:szCs w:val="20"/>
        </w:rPr>
        <w:t xml:space="preserve">interactive effects the “GRO” building type </w:t>
      </w:r>
      <w:r w:rsidR="005E29BD" w:rsidRPr="00777F66">
        <w:rPr>
          <w:rFonts w:cs="Arial"/>
          <w:b/>
          <w:szCs w:val="20"/>
        </w:rPr>
        <w:t>Coincident demand factor and interactive effects are</w:t>
      </w:r>
      <w:r w:rsidRPr="00777F66">
        <w:rPr>
          <w:rFonts w:cs="Arial"/>
          <w:b/>
          <w:szCs w:val="20"/>
        </w:rPr>
        <w:t xml:space="preserve"> used since for this measure “GRO” is the most </w:t>
      </w:r>
      <w:r w:rsidR="00023127" w:rsidRPr="00777F66">
        <w:rPr>
          <w:rFonts w:cs="Arial"/>
          <w:b/>
          <w:szCs w:val="20"/>
        </w:rPr>
        <w:t>common</w:t>
      </w:r>
      <w:r w:rsidRPr="00777F66">
        <w:rPr>
          <w:rFonts w:cs="Arial"/>
          <w:b/>
          <w:szCs w:val="20"/>
        </w:rPr>
        <w:t xml:space="preserve"> building type.</w:t>
      </w:r>
    </w:p>
    <w:p w:rsidR="002B583E" w:rsidRDefault="00276ED1" w:rsidP="002B583E">
      <w:pPr>
        <w:pStyle w:val="Heading2"/>
      </w:pPr>
      <w:bookmarkStart w:id="39" w:name="_Toc437853356"/>
      <w:r w:rsidRPr="002B583E">
        <w:lastRenderedPageBreak/>
        <w:t xml:space="preserve">2.3. </w:t>
      </w:r>
      <w:r w:rsidR="007878B9" w:rsidRPr="002B583E">
        <w:t>Gas Energy Savings Estimation Methodologies</w:t>
      </w:r>
      <w:bookmarkEnd w:id="39"/>
    </w:p>
    <w:p w:rsidR="0035242A" w:rsidRPr="002B583E" w:rsidRDefault="009E412A" w:rsidP="002B583E">
      <w:pPr>
        <w:rPr>
          <w:b/>
          <w:bCs/>
          <w:i/>
          <w:sz w:val="28"/>
          <w:szCs w:val="28"/>
        </w:rPr>
      </w:pPr>
      <w:r w:rsidRPr="002B583E">
        <w:t xml:space="preserve">There </w:t>
      </w:r>
      <w:r w:rsidR="002B583E">
        <w:t>are</w:t>
      </w:r>
      <w:r w:rsidR="000F0986" w:rsidRPr="002B583E">
        <w:t xml:space="preserve"> no therm interactive effect</w:t>
      </w:r>
      <w:r w:rsidR="002B583E">
        <w:t>s</w:t>
      </w:r>
      <w:r w:rsidRPr="002B583E">
        <w:t xml:space="preserve"> for this measure.</w:t>
      </w:r>
      <w:r w:rsidR="00FF29E1" w:rsidRPr="002B583E">
        <w:t xml:space="preserve"> Therefore </w:t>
      </w:r>
      <w:r w:rsidR="000F0986" w:rsidRPr="002B583E">
        <w:t>there is no negative therm savings associated with this measure.</w:t>
      </w:r>
    </w:p>
    <w:p w:rsidR="002B583E" w:rsidRDefault="002B583E">
      <w:pPr>
        <w:rPr>
          <w:rFonts w:cs="Arial"/>
          <w:b/>
          <w:bCs/>
          <w:i/>
          <w:kern w:val="32"/>
          <w:sz w:val="28"/>
          <w:szCs w:val="28"/>
        </w:rPr>
      </w:pPr>
    </w:p>
    <w:p w:rsidR="00777F66" w:rsidRDefault="00777F66">
      <w:pPr>
        <w:rPr>
          <w:rFonts w:cs="Arial"/>
          <w:b/>
          <w:bCs/>
          <w:kern w:val="32"/>
          <w:sz w:val="32"/>
          <w:szCs w:val="32"/>
        </w:rPr>
      </w:pPr>
      <w:r>
        <w:br w:type="page"/>
      </w:r>
    </w:p>
    <w:p w:rsidR="00B7164C" w:rsidRPr="002B583E" w:rsidRDefault="00C069A2" w:rsidP="002B583E">
      <w:pPr>
        <w:pStyle w:val="Heading1"/>
      </w:pPr>
      <w:bookmarkStart w:id="40" w:name="_Toc437853357"/>
      <w:r w:rsidRPr="002B583E">
        <w:t>Section 3</w:t>
      </w:r>
      <w:r w:rsidR="003129E8" w:rsidRPr="002B583E">
        <w:t>.</w:t>
      </w:r>
      <w:r w:rsidRPr="002B583E">
        <w:t xml:space="preserve"> Load Shapes</w:t>
      </w:r>
      <w:bookmarkEnd w:id="40"/>
      <w:r w:rsidR="00844B27" w:rsidRPr="002B583E">
        <w:t xml:space="preserve"> </w:t>
      </w:r>
    </w:p>
    <w:p w:rsidR="001B6FE7" w:rsidRPr="00437C35" w:rsidRDefault="00A06A54" w:rsidP="00A06A54">
      <w:pPr>
        <w:autoSpaceDE w:val="0"/>
        <w:autoSpaceDN w:val="0"/>
        <w:adjustRightInd w:val="0"/>
        <w:rPr>
          <w:rFonts w:cs="Arial"/>
          <w:szCs w:val="20"/>
        </w:rPr>
      </w:pPr>
      <w:r w:rsidRPr="00437C35">
        <w:rPr>
          <w:rFonts w:cs="Arial"/>
          <w:szCs w:val="20"/>
        </w:rPr>
        <w:t>Load Shapes are an important part of the life-cycle cost analysis of any energy efficiency program portfolio.</w:t>
      </w:r>
      <w:r w:rsidR="00A97045" w:rsidRPr="00437C35">
        <w:rPr>
          <w:rFonts w:cs="Arial"/>
          <w:szCs w:val="20"/>
        </w:rPr>
        <w:t xml:space="preserve"> </w:t>
      </w:r>
      <w:r w:rsidRPr="00437C35">
        <w:rPr>
          <w:rFonts w:cs="Arial"/>
          <w:szCs w:val="20"/>
        </w:rPr>
        <w:t>The net benefits associated with a measure are based on the amount of energy saved and the avoided cost per unit of energy saved.</w:t>
      </w:r>
      <w:r w:rsidR="00A97045" w:rsidRPr="00437C35">
        <w:rPr>
          <w:rFonts w:cs="Arial"/>
          <w:szCs w:val="20"/>
        </w:rPr>
        <w:t xml:space="preserve"> </w:t>
      </w:r>
      <w:r w:rsidRPr="00437C35">
        <w:rPr>
          <w:rFonts w:cs="Arial"/>
          <w:szCs w:val="20"/>
        </w:rPr>
        <w:t>For electricity, the avoided cost varies hourly over an entire year.</w:t>
      </w:r>
      <w:r w:rsidR="00A97045" w:rsidRPr="00437C35">
        <w:rPr>
          <w:rFonts w:cs="Arial"/>
          <w:szCs w:val="20"/>
        </w:rPr>
        <w:t xml:space="preserve"> </w:t>
      </w:r>
      <w:r w:rsidRPr="00437C35">
        <w:rPr>
          <w:rFonts w:cs="Arial"/>
          <w:szCs w:val="20"/>
        </w:rPr>
        <w:t>Thus, the net benefits calculation for a measure requires both the total annual energy savings (kWh) of the measure and the distribution of that savings over the year.</w:t>
      </w:r>
      <w:r w:rsidR="00A97045" w:rsidRPr="00437C35">
        <w:rPr>
          <w:rFonts w:cs="Arial"/>
          <w:szCs w:val="20"/>
        </w:rPr>
        <w:t xml:space="preserve"> </w:t>
      </w:r>
      <w:r w:rsidRPr="00437C35">
        <w:rPr>
          <w:rFonts w:cs="Arial"/>
          <w:szCs w:val="20"/>
        </w:rPr>
        <w:t>The distribution of savings over the year is represented by the measure’s load shape.</w:t>
      </w:r>
      <w:r w:rsidR="00A97045" w:rsidRPr="00437C35">
        <w:rPr>
          <w:rFonts w:cs="Arial"/>
          <w:szCs w:val="20"/>
        </w:rPr>
        <w:t xml:space="preserve"> </w:t>
      </w:r>
      <w:r w:rsidRPr="00437C35">
        <w:rPr>
          <w:rFonts w:cs="Arial"/>
          <w:szCs w:val="20"/>
        </w:rPr>
        <w:t>The measure’s load shape indicates what fraction of annual energy savings occurs in each time period of the year.</w:t>
      </w:r>
      <w:r w:rsidR="00A97045" w:rsidRPr="00437C35">
        <w:rPr>
          <w:rFonts w:cs="Arial"/>
          <w:szCs w:val="20"/>
        </w:rPr>
        <w:t xml:space="preserve"> </w:t>
      </w:r>
      <w:r w:rsidRPr="00437C35">
        <w:rPr>
          <w:rFonts w:cs="Arial"/>
          <w:szCs w:val="20"/>
        </w:rPr>
        <w:t>An hourly load shape indicates what fraction of annual savings occurs for each hour of the year.</w:t>
      </w:r>
      <w:r w:rsidR="00A97045" w:rsidRPr="00437C35">
        <w:rPr>
          <w:rFonts w:cs="Arial"/>
          <w:szCs w:val="20"/>
        </w:rPr>
        <w:t xml:space="preserve"> </w:t>
      </w:r>
      <w:r w:rsidRPr="00437C35">
        <w:rPr>
          <w:rFonts w:cs="Arial"/>
          <w:szCs w:val="20"/>
        </w:rPr>
        <w:t>A Time-of-Use (TOU) load shape indicates what fraction occurs within five or six broad time-of-use periods, typically defined by a specific utility rate tariff.</w:t>
      </w:r>
      <w:r w:rsidR="00A97045" w:rsidRPr="00437C35">
        <w:rPr>
          <w:rFonts w:cs="Arial"/>
          <w:szCs w:val="20"/>
        </w:rPr>
        <w:t xml:space="preserve"> </w:t>
      </w:r>
      <w:r w:rsidRPr="00437C35">
        <w:rPr>
          <w:rFonts w:cs="Arial"/>
          <w:szCs w:val="20"/>
        </w:rPr>
        <w:t>Formally, a load shape is a set of fractions summing to unity, one fraction for each hour or for each TOU period.</w:t>
      </w:r>
      <w:r w:rsidR="00A97045" w:rsidRPr="00437C35">
        <w:rPr>
          <w:rFonts w:cs="Arial"/>
          <w:szCs w:val="20"/>
        </w:rPr>
        <w:t xml:space="preserve"> </w:t>
      </w:r>
      <w:r w:rsidRPr="00437C35">
        <w:rPr>
          <w:rFonts w:cs="Arial"/>
          <w:szCs w:val="20"/>
        </w:rPr>
        <w:t xml:space="preserve">Multiplying the measure load shape with the hourly avoided cost stream determines the average avoided cost per kWh for use in the life cycle cost analysis that determines a measure’s Total Resource Cost (TRC) benefit. </w:t>
      </w:r>
    </w:p>
    <w:p w:rsidR="00B7164C" w:rsidRPr="00D705EF" w:rsidRDefault="00BF0332" w:rsidP="00B7164C">
      <w:pPr>
        <w:pStyle w:val="Heading2"/>
        <w:keepNext w:val="0"/>
      </w:pPr>
      <w:bookmarkStart w:id="41" w:name="_Toc173742996"/>
      <w:bookmarkStart w:id="42" w:name="_Toc437853358"/>
      <w:r w:rsidRPr="00D705EF">
        <w:t>3.1 Base Case</w:t>
      </w:r>
      <w:r w:rsidR="00B7164C" w:rsidRPr="00D705EF">
        <w:t xml:space="preserve"> Load Shapes</w:t>
      </w:r>
      <w:bookmarkEnd w:id="41"/>
      <w:bookmarkEnd w:id="42"/>
    </w:p>
    <w:bookmarkStart w:id="43" w:name="_Toc173742997"/>
    <w:p w:rsidR="008840FA" w:rsidRPr="00D705EF" w:rsidRDefault="008840FA" w:rsidP="008840FA">
      <w:pPr>
        <w:rPr>
          <w:rFonts w:cs="Arial"/>
          <w:szCs w:val="20"/>
        </w:rPr>
      </w:pPr>
      <w:r w:rsidRPr="00D705EF">
        <w:rPr>
          <w:rFonts w:cs="Arial"/>
          <w:szCs w:val="20"/>
        </w:rPr>
        <w:fldChar w:fldCharType="begin"/>
      </w:r>
      <w:r w:rsidRPr="00D705EF">
        <w:rPr>
          <w:rFonts w:cs="Arial"/>
          <w:szCs w:val="20"/>
        </w:rPr>
        <w:instrText xml:space="preserve"> XE "load shape" </w:instrText>
      </w:r>
      <w:r w:rsidRPr="00D705EF">
        <w:rPr>
          <w:rFonts w:cs="Arial"/>
          <w:szCs w:val="20"/>
        </w:rPr>
        <w:fldChar w:fldCharType="end"/>
      </w:r>
      <w:r w:rsidR="00B66898" w:rsidRPr="00D705EF">
        <w:rPr>
          <w:rFonts w:cs="Arial"/>
          <w:szCs w:val="20"/>
        </w:rPr>
        <w:t>T</w:t>
      </w:r>
      <w:r w:rsidRPr="00D705EF">
        <w:rPr>
          <w:rFonts w:cs="Arial"/>
          <w:szCs w:val="20"/>
        </w:rPr>
        <w:t xml:space="preserve">he closest load shape chosen for this measure is the </w:t>
      </w:r>
      <w:r w:rsidR="002B583E" w:rsidRPr="002B583E">
        <w:rPr>
          <w:rFonts w:cs="Arial"/>
          <w:szCs w:val="20"/>
        </w:rPr>
        <w:t>PGE:DEER:Com:Indoor_Non-CFL_Ltg</w:t>
      </w:r>
      <w:r w:rsidRPr="00E9786A">
        <w:rPr>
          <w:rFonts w:cs="Arial"/>
          <w:szCs w:val="20"/>
        </w:rPr>
        <w:t xml:space="preserve"> load shape.</w:t>
      </w:r>
      <w:r w:rsidR="00476B67" w:rsidRPr="00E9786A">
        <w:rPr>
          <w:rFonts w:cs="Arial"/>
          <w:szCs w:val="20"/>
        </w:rPr>
        <w:t xml:space="preserve"> </w:t>
      </w:r>
    </w:p>
    <w:p w:rsidR="00B7164C" w:rsidRPr="006F2AC3" w:rsidRDefault="00B7164C" w:rsidP="00D20486">
      <w:pPr>
        <w:pStyle w:val="Heading2"/>
        <w:keepNext w:val="0"/>
      </w:pPr>
      <w:bookmarkStart w:id="44" w:name="_Toc437853359"/>
      <w:r w:rsidRPr="006F2AC3">
        <w:t>3.2 Measure Load Shapes</w:t>
      </w:r>
      <w:bookmarkEnd w:id="43"/>
      <w:bookmarkEnd w:id="44"/>
    </w:p>
    <w:p w:rsidR="00B66898" w:rsidRPr="00D705EF" w:rsidRDefault="009B6201" w:rsidP="003C6DFA">
      <w:pPr>
        <w:rPr>
          <w:rFonts w:cs="Arial"/>
          <w:szCs w:val="20"/>
        </w:rPr>
      </w:pPr>
      <w:r w:rsidRPr="00957EE7">
        <w:rPr>
          <w:rFonts w:cs="Arial"/>
          <w:szCs w:val="20"/>
        </w:rPr>
        <w:t xml:space="preserve">The </w:t>
      </w:r>
      <w:r w:rsidR="00F47D9D" w:rsidRPr="00957EE7">
        <w:rPr>
          <w:rFonts w:cs="Arial"/>
          <w:szCs w:val="20"/>
        </w:rPr>
        <w:t>measure load shape for this measure is</w:t>
      </w:r>
      <w:r w:rsidR="00AB2D9E" w:rsidRPr="005A33AB">
        <w:rPr>
          <w:rFonts w:cs="Arial"/>
          <w:szCs w:val="20"/>
        </w:rPr>
        <w:t xml:space="preserve"> determined based o</w:t>
      </w:r>
      <w:r w:rsidR="00F47D9D" w:rsidRPr="005A33AB">
        <w:rPr>
          <w:rFonts w:cs="Arial"/>
          <w:szCs w:val="20"/>
        </w:rPr>
        <w:t>n</w:t>
      </w:r>
      <w:r w:rsidR="00AB2D9E" w:rsidRPr="005A33AB">
        <w:rPr>
          <w:rFonts w:cs="Arial"/>
          <w:szCs w:val="20"/>
        </w:rPr>
        <w:t xml:space="preserve"> the applicable </w:t>
      </w:r>
      <w:r w:rsidR="002B583E">
        <w:rPr>
          <w:rFonts w:cs="Arial"/>
          <w:szCs w:val="20"/>
        </w:rPr>
        <w:t xml:space="preserve">commercial </w:t>
      </w:r>
      <w:r w:rsidR="00AB2D9E" w:rsidRPr="00207E06">
        <w:rPr>
          <w:rFonts w:cs="Arial"/>
          <w:szCs w:val="20"/>
        </w:rPr>
        <w:t>market sector</w:t>
      </w:r>
      <w:r w:rsidR="00F47D9D" w:rsidRPr="00B74ABF">
        <w:rPr>
          <w:rFonts w:cs="Arial"/>
          <w:szCs w:val="20"/>
        </w:rPr>
        <w:t xml:space="preserve"> and the </w:t>
      </w:r>
      <w:r w:rsidR="00A209A2" w:rsidRPr="00B74ABF">
        <w:rPr>
          <w:rFonts w:cs="Arial"/>
          <w:szCs w:val="20"/>
        </w:rPr>
        <w:t>lighting</w:t>
      </w:r>
      <w:r w:rsidR="00F47D9D" w:rsidRPr="004E2DA5">
        <w:rPr>
          <w:rFonts w:cs="Arial"/>
          <w:szCs w:val="20"/>
        </w:rPr>
        <w:t xml:space="preserve"> end-use.</w:t>
      </w:r>
      <w:r w:rsidR="00476B67" w:rsidRPr="004E2DA5">
        <w:rPr>
          <w:rFonts w:cs="Arial"/>
          <w:szCs w:val="20"/>
        </w:rPr>
        <w:t xml:space="preserve"> </w:t>
      </w:r>
    </w:p>
    <w:p w:rsidR="00DF3395" w:rsidRPr="00E9786A" w:rsidRDefault="00B66898" w:rsidP="003C6DFA">
      <w:pPr>
        <w:rPr>
          <w:rFonts w:cs="Arial"/>
          <w:szCs w:val="20"/>
        </w:rPr>
      </w:pPr>
      <w:r w:rsidRPr="00E9786A">
        <w:rPr>
          <w:rFonts w:cs="Arial"/>
          <w:szCs w:val="20"/>
        </w:rPr>
        <w:t xml:space="preserve"> </w:t>
      </w:r>
    </w:p>
    <w:p w:rsidR="00D87EFF" w:rsidRPr="00D705EF" w:rsidRDefault="00B66898" w:rsidP="00D87EFF">
      <w:pPr>
        <w:rPr>
          <w:rFonts w:cs="Arial"/>
          <w:szCs w:val="20"/>
        </w:rPr>
      </w:pPr>
      <w:r w:rsidRPr="00E9786A">
        <w:rPr>
          <w:rFonts w:cs="Arial"/>
          <w:szCs w:val="20"/>
        </w:rPr>
        <w:t>T</w:t>
      </w:r>
      <w:r w:rsidR="00D87EFF" w:rsidRPr="00E9786A">
        <w:rPr>
          <w:rFonts w:cs="Arial"/>
          <w:szCs w:val="20"/>
        </w:rPr>
        <w:t xml:space="preserve">he closest load shape chosen for this measure is the </w:t>
      </w:r>
      <w:r w:rsidR="002B583E" w:rsidRPr="002B583E">
        <w:rPr>
          <w:rFonts w:cs="Arial"/>
          <w:szCs w:val="20"/>
        </w:rPr>
        <w:t>PGE:DEER:Com:Indoor_Non-CFL_Ltg</w:t>
      </w:r>
      <w:r w:rsidR="00D87EFF" w:rsidRPr="00DA0D90">
        <w:rPr>
          <w:rFonts w:cs="Arial"/>
          <w:szCs w:val="20"/>
        </w:rPr>
        <w:t xml:space="preserve"> load shape.</w:t>
      </w:r>
      <w:r w:rsidR="00476B67" w:rsidRPr="00DA0D90">
        <w:rPr>
          <w:rFonts w:cs="Arial"/>
          <w:szCs w:val="20"/>
        </w:rPr>
        <w:t xml:space="preserve"> </w:t>
      </w:r>
      <w:r w:rsidR="00D87EFF" w:rsidRPr="00DA0D90">
        <w:rPr>
          <w:rFonts w:cs="Arial"/>
          <w:szCs w:val="20"/>
        </w:rPr>
        <w:t xml:space="preserve">See </w:t>
      </w:r>
      <w:r w:rsidR="00D87EFF" w:rsidRPr="00D705EF">
        <w:rPr>
          <w:rFonts w:cs="Arial"/>
          <w:szCs w:val="20"/>
        </w:rPr>
        <w:fldChar w:fldCharType="begin"/>
      </w:r>
      <w:r w:rsidR="00D87EFF" w:rsidRPr="00D00860">
        <w:rPr>
          <w:rFonts w:cs="Arial"/>
          <w:szCs w:val="20"/>
        </w:rPr>
        <w:instrText xml:space="preserve"> REF _Ref296597958 \h  \* MERGEFORMAT </w:instrText>
      </w:r>
      <w:r w:rsidR="00D87EFF" w:rsidRPr="00D705EF">
        <w:rPr>
          <w:rFonts w:cs="Arial"/>
          <w:szCs w:val="20"/>
        </w:rPr>
      </w:r>
      <w:r w:rsidR="00D87EFF" w:rsidRPr="00D705EF">
        <w:rPr>
          <w:rFonts w:cs="Arial"/>
          <w:szCs w:val="20"/>
        </w:rPr>
        <w:fldChar w:fldCharType="separate"/>
      </w:r>
      <w:r w:rsidR="00B573CA" w:rsidRPr="00B573CA">
        <w:rPr>
          <w:rFonts w:cs="Arial"/>
          <w:szCs w:val="20"/>
        </w:rPr>
        <w:t xml:space="preserve">Table </w:t>
      </w:r>
      <w:r w:rsidR="00B573CA" w:rsidRPr="00B573CA">
        <w:rPr>
          <w:rFonts w:cs="Arial"/>
          <w:noProof/>
          <w:szCs w:val="20"/>
        </w:rPr>
        <w:t>4</w:t>
      </w:r>
      <w:r w:rsidR="00D87EFF" w:rsidRPr="00D705EF">
        <w:rPr>
          <w:rFonts w:cs="Arial"/>
          <w:szCs w:val="20"/>
        </w:rPr>
        <w:fldChar w:fldCharType="end"/>
      </w:r>
      <w:r w:rsidR="00D87EFF" w:rsidRPr="00D705EF">
        <w:rPr>
          <w:rFonts w:cs="Arial"/>
          <w:szCs w:val="20"/>
        </w:rPr>
        <w:t xml:space="preserve"> for a list of all Building Types and Load Shapes.</w:t>
      </w:r>
      <w:r w:rsidR="00476B67" w:rsidRPr="00D705EF">
        <w:rPr>
          <w:rFonts w:cs="Arial"/>
          <w:szCs w:val="20"/>
        </w:rPr>
        <w:t xml:space="preserve"> </w:t>
      </w:r>
    </w:p>
    <w:p w:rsidR="00AD322C" w:rsidRPr="00E9786A" w:rsidRDefault="00AD322C" w:rsidP="004203DD">
      <w:pPr>
        <w:keepNext/>
        <w:keepLines/>
        <w:rPr>
          <w:rFonts w:cs="Arial"/>
          <w:szCs w:val="20"/>
        </w:rPr>
      </w:pPr>
    </w:p>
    <w:p w:rsidR="00D87EFF" w:rsidRPr="00D00860" w:rsidRDefault="00D87EFF" w:rsidP="004203DD">
      <w:pPr>
        <w:pStyle w:val="Caption"/>
        <w:keepNext/>
        <w:keepLines/>
        <w:jc w:val="center"/>
        <w:rPr>
          <w:rFonts w:cs="Arial"/>
          <w:b w:val="0"/>
        </w:rPr>
      </w:pPr>
      <w:bookmarkStart w:id="45" w:name="_Ref296597958"/>
      <w:bookmarkStart w:id="46" w:name="_Toc437853375"/>
      <w:r w:rsidRPr="00E9786A">
        <w:rPr>
          <w:rFonts w:cs="Arial"/>
        </w:rPr>
        <w:t xml:space="preserve">Table </w:t>
      </w:r>
      <w:r w:rsidRPr="00D00860">
        <w:rPr>
          <w:rFonts w:cs="Arial"/>
        </w:rPr>
        <w:fldChar w:fldCharType="begin"/>
      </w:r>
      <w:r w:rsidRPr="00D00860">
        <w:rPr>
          <w:rFonts w:cs="Arial"/>
        </w:rPr>
        <w:instrText xml:space="preserve"> SEQ Table \* ARABIC </w:instrText>
      </w:r>
      <w:r w:rsidRPr="00D00860">
        <w:rPr>
          <w:rFonts w:cs="Arial"/>
        </w:rPr>
        <w:fldChar w:fldCharType="separate"/>
      </w:r>
      <w:r w:rsidR="007833A0">
        <w:rPr>
          <w:rFonts w:cs="Arial"/>
          <w:noProof/>
        </w:rPr>
        <w:t>10</w:t>
      </w:r>
      <w:r w:rsidRPr="00D00860">
        <w:rPr>
          <w:rFonts w:cs="Arial"/>
        </w:rPr>
        <w:fldChar w:fldCharType="end"/>
      </w:r>
      <w:bookmarkEnd w:id="45"/>
      <w:r w:rsidRPr="00D00860">
        <w:rPr>
          <w:rFonts w:cs="Arial"/>
        </w:rPr>
        <w:t xml:space="preserve"> Building Types and Load Shapes</w:t>
      </w:r>
      <w:bookmarkEnd w:id="46"/>
    </w:p>
    <w:tbl>
      <w:tblPr>
        <w:tblStyle w:val="TableGrid1"/>
        <w:tblW w:w="5000" w:type="pct"/>
        <w:tblLook w:val="01E0" w:firstRow="1" w:lastRow="1" w:firstColumn="1" w:lastColumn="1" w:noHBand="0" w:noVBand="0"/>
      </w:tblPr>
      <w:tblGrid>
        <w:gridCol w:w="3229"/>
        <w:gridCol w:w="3407"/>
        <w:gridCol w:w="2940"/>
      </w:tblGrid>
      <w:tr w:rsidR="002B583E" w:rsidRPr="002B583E" w:rsidTr="00F4043B">
        <w:tc>
          <w:tcPr>
            <w:tcW w:w="1686" w:type="pct"/>
            <w:shd w:val="clear" w:color="auto" w:fill="D9D9D9" w:themeFill="background1" w:themeFillShade="D9"/>
          </w:tcPr>
          <w:p w:rsidR="002B583E" w:rsidRPr="002B583E" w:rsidRDefault="002B583E" w:rsidP="00F4043B">
            <w:pPr>
              <w:rPr>
                <w:rFonts w:cstheme="minorHAnsi"/>
                <w:b/>
                <w:szCs w:val="20"/>
                <w:highlight w:val="yellow"/>
              </w:rPr>
            </w:pPr>
            <w:r w:rsidRPr="002B583E">
              <w:rPr>
                <w:rFonts w:cstheme="minorHAnsi"/>
                <w:b/>
                <w:szCs w:val="20"/>
              </w:rPr>
              <w:t>Building Type</w:t>
            </w:r>
          </w:p>
        </w:tc>
        <w:tc>
          <w:tcPr>
            <w:tcW w:w="1779" w:type="pct"/>
            <w:shd w:val="clear" w:color="auto" w:fill="D9D9D9" w:themeFill="background1" w:themeFillShade="D9"/>
          </w:tcPr>
          <w:p w:rsidR="002B583E" w:rsidRPr="002B583E" w:rsidRDefault="002B583E" w:rsidP="00F4043B">
            <w:pPr>
              <w:rPr>
                <w:rFonts w:cstheme="minorHAnsi"/>
                <w:b/>
                <w:szCs w:val="20"/>
              </w:rPr>
            </w:pPr>
            <w:r w:rsidRPr="002B583E">
              <w:rPr>
                <w:rFonts w:cstheme="minorHAnsi"/>
                <w:b/>
                <w:szCs w:val="20"/>
              </w:rPr>
              <w:t>Load Shape</w:t>
            </w:r>
          </w:p>
        </w:tc>
        <w:tc>
          <w:tcPr>
            <w:tcW w:w="1535" w:type="pct"/>
            <w:shd w:val="clear" w:color="auto" w:fill="D9D9D9" w:themeFill="background1" w:themeFillShade="D9"/>
          </w:tcPr>
          <w:p w:rsidR="002B583E" w:rsidRPr="002B583E" w:rsidRDefault="002B583E" w:rsidP="00F4043B">
            <w:pPr>
              <w:rPr>
                <w:rFonts w:cstheme="minorHAnsi"/>
                <w:b/>
                <w:szCs w:val="20"/>
                <w:highlight w:val="yellow"/>
              </w:rPr>
            </w:pPr>
            <w:r w:rsidRPr="002B583E">
              <w:rPr>
                <w:rFonts w:cstheme="minorHAnsi"/>
                <w:b/>
                <w:szCs w:val="20"/>
              </w:rPr>
              <w:t>E3 Alternate Building Type</w:t>
            </w:r>
          </w:p>
        </w:tc>
      </w:tr>
      <w:tr w:rsidR="002B583E" w:rsidRPr="002B583E" w:rsidTr="00F4043B">
        <w:tc>
          <w:tcPr>
            <w:tcW w:w="1686" w:type="pct"/>
          </w:tcPr>
          <w:p w:rsidR="002B583E" w:rsidRPr="002B583E" w:rsidRDefault="002B583E" w:rsidP="00F4043B">
            <w:pPr>
              <w:rPr>
                <w:rFonts w:cstheme="minorHAnsi"/>
                <w:szCs w:val="20"/>
              </w:rPr>
            </w:pPr>
            <w:r>
              <w:rPr>
                <w:rFonts w:cstheme="minorHAnsi"/>
                <w:szCs w:val="20"/>
              </w:rPr>
              <w:t>All commercial building types, “Com,” and “OTR”</w:t>
            </w:r>
          </w:p>
        </w:tc>
        <w:tc>
          <w:tcPr>
            <w:tcW w:w="1779" w:type="pct"/>
          </w:tcPr>
          <w:p w:rsidR="002B583E" w:rsidRPr="002B583E" w:rsidRDefault="002B583E" w:rsidP="00F4043B">
            <w:pPr>
              <w:rPr>
                <w:rFonts w:cstheme="minorHAnsi"/>
                <w:szCs w:val="20"/>
              </w:rPr>
            </w:pPr>
            <w:r w:rsidRPr="002B583E">
              <w:rPr>
                <w:rFonts w:cstheme="minorHAnsi"/>
                <w:szCs w:val="20"/>
              </w:rPr>
              <w:t>PGE:DEER:Com:Indoor_Non-CFL_Ltg</w:t>
            </w:r>
          </w:p>
        </w:tc>
        <w:tc>
          <w:tcPr>
            <w:tcW w:w="1535" w:type="pct"/>
          </w:tcPr>
          <w:p w:rsidR="002B583E" w:rsidRPr="002B583E" w:rsidRDefault="002B583E" w:rsidP="00F4043B">
            <w:pPr>
              <w:rPr>
                <w:rFonts w:cstheme="minorHAnsi"/>
                <w:szCs w:val="20"/>
              </w:rPr>
            </w:pPr>
            <w:r w:rsidRPr="002B583E">
              <w:rPr>
                <w:rFonts w:cstheme="minorHAnsi"/>
                <w:szCs w:val="20"/>
              </w:rPr>
              <w:t>NON_RES</w:t>
            </w:r>
          </w:p>
        </w:tc>
      </w:tr>
    </w:tbl>
    <w:p w:rsidR="00D87EFF" w:rsidRPr="00D00860" w:rsidRDefault="00D87EFF" w:rsidP="002E0043">
      <w:pPr>
        <w:rPr>
          <w:rFonts w:cs="Arial"/>
        </w:rPr>
      </w:pPr>
    </w:p>
    <w:p w:rsidR="00F539B2" w:rsidRDefault="00F539B2" w:rsidP="006C1C28">
      <w:pPr>
        <w:pStyle w:val="Heading1"/>
        <w:keepLines/>
      </w:pPr>
    </w:p>
    <w:p w:rsidR="0035242A" w:rsidRDefault="0035242A">
      <w:pPr>
        <w:rPr>
          <w:rFonts w:cs="Arial"/>
          <w:b/>
          <w:bCs/>
          <w:kern w:val="32"/>
          <w:sz w:val="32"/>
          <w:szCs w:val="32"/>
        </w:rPr>
      </w:pPr>
      <w:r>
        <w:br w:type="page"/>
      </w:r>
    </w:p>
    <w:p w:rsidR="0091058D" w:rsidRPr="00777F66" w:rsidRDefault="00C069A2" w:rsidP="006C1C28">
      <w:pPr>
        <w:pStyle w:val="Heading1"/>
        <w:keepLines/>
      </w:pPr>
      <w:bookmarkStart w:id="47" w:name="_Toc437853360"/>
      <w:r w:rsidRPr="00777F66">
        <w:lastRenderedPageBreak/>
        <w:t>Section 4</w:t>
      </w:r>
      <w:r w:rsidR="003129E8" w:rsidRPr="00777F66">
        <w:t>.</w:t>
      </w:r>
      <w:r w:rsidRPr="00777F66">
        <w:t xml:space="preserve"> Base Case &amp; Measure Costs</w:t>
      </w:r>
      <w:bookmarkEnd w:id="47"/>
    </w:p>
    <w:p w:rsidR="00031BFD" w:rsidRPr="00777F66" w:rsidRDefault="00031BFD" w:rsidP="00031BFD">
      <w:pPr>
        <w:rPr>
          <w:rFonts w:cs="Arial"/>
        </w:rPr>
      </w:pPr>
    </w:p>
    <w:p w:rsidR="00F539B2" w:rsidRPr="00777F66" w:rsidRDefault="00CE5B6A" w:rsidP="00020C3F">
      <w:pPr>
        <w:rPr>
          <w:rFonts w:cs="Arial"/>
          <w:szCs w:val="20"/>
        </w:rPr>
      </w:pPr>
      <w:r w:rsidRPr="00777F66">
        <w:rPr>
          <w:rFonts w:cs="Arial"/>
          <w:szCs w:val="20"/>
        </w:rPr>
        <w:t>Data on both base</w:t>
      </w:r>
      <w:r w:rsidR="00777F66">
        <w:rPr>
          <w:rFonts w:cs="Arial"/>
          <w:szCs w:val="20"/>
        </w:rPr>
        <w:t xml:space="preserve"> </w:t>
      </w:r>
      <w:r w:rsidRPr="00777F66">
        <w:rPr>
          <w:rFonts w:cs="Arial"/>
          <w:szCs w:val="20"/>
        </w:rPr>
        <w:t xml:space="preserve">case and measure fixture costs are derived from </w:t>
      </w:r>
      <w:r w:rsidR="00F32B60" w:rsidRPr="00777F66">
        <w:rPr>
          <w:rFonts w:cs="Arial"/>
          <w:szCs w:val="20"/>
        </w:rPr>
        <w:t xml:space="preserve">product pricing provided by vendors via </w:t>
      </w:r>
      <w:r w:rsidRPr="00777F66">
        <w:rPr>
          <w:rFonts w:cs="Arial"/>
          <w:szCs w:val="20"/>
        </w:rPr>
        <w:t xml:space="preserve">personal communications and online </w:t>
      </w:r>
      <w:r w:rsidR="00F32B60" w:rsidRPr="00777F66">
        <w:rPr>
          <w:rFonts w:cs="Arial"/>
          <w:szCs w:val="20"/>
        </w:rPr>
        <w:t>price listings where available</w:t>
      </w:r>
      <w:r w:rsidRPr="00777F66">
        <w:rPr>
          <w:rFonts w:cs="Arial"/>
          <w:szCs w:val="20"/>
        </w:rPr>
        <w:t xml:space="preserve">.  </w:t>
      </w:r>
      <w:r w:rsidR="00F32B60" w:rsidRPr="00777F66">
        <w:rPr>
          <w:rFonts w:cs="Arial"/>
          <w:szCs w:val="20"/>
        </w:rPr>
        <w:t>In r</w:t>
      </w:r>
      <w:r w:rsidRPr="00777F66">
        <w:rPr>
          <w:rFonts w:cs="Arial"/>
          <w:szCs w:val="20"/>
        </w:rPr>
        <w:t xml:space="preserve">efrigerated case lighting </w:t>
      </w:r>
      <w:r w:rsidR="00F32B60" w:rsidRPr="00777F66">
        <w:rPr>
          <w:rFonts w:cs="Arial"/>
          <w:szCs w:val="20"/>
        </w:rPr>
        <w:t xml:space="preserve">as in </w:t>
      </w:r>
      <w:r w:rsidRPr="00777F66">
        <w:rPr>
          <w:rFonts w:cs="Arial"/>
          <w:szCs w:val="20"/>
        </w:rPr>
        <w:t xml:space="preserve">other lighting applications, new generation LEDs </w:t>
      </w:r>
      <w:r w:rsidR="00F32B60" w:rsidRPr="00777F66">
        <w:rPr>
          <w:rFonts w:cs="Arial"/>
          <w:szCs w:val="20"/>
        </w:rPr>
        <w:t>are</w:t>
      </w:r>
      <w:r w:rsidRPr="00777F66">
        <w:rPr>
          <w:rFonts w:cs="Arial"/>
          <w:szCs w:val="20"/>
        </w:rPr>
        <w:t xml:space="preserve"> more expensive than older </w:t>
      </w:r>
      <w:r w:rsidR="00F32B60" w:rsidRPr="00777F66">
        <w:rPr>
          <w:rFonts w:cs="Arial"/>
          <w:szCs w:val="20"/>
        </w:rPr>
        <w:t>fluorescent</w:t>
      </w:r>
      <w:r w:rsidRPr="00777F66">
        <w:rPr>
          <w:rFonts w:cs="Arial"/>
          <w:szCs w:val="20"/>
        </w:rPr>
        <w:t xml:space="preserve"> equipment.  </w:t>
      </w:r>
      <w:r w:rsidR="00364F1A" w:rsidRPr="00777F66">
        <w:rPr>
          <w:rFonts w:cs="Arial"/>
          <w:szCs w:val="20"/>
        </w:rPr>
        <w:t xml:space="preserve">DEER cost data </w:t>
      </w:r>
      <w:r w:rsidR="00F32B60" w:rsidRPr="00777F66">
        <w:rPr>
          <w:rFonts w:cs="Arial"/>
          <w:szCs w:val="20"/>
        </w:rPr>
        <w:t xml:space="preserve">is not available for this application and </w:t>
      </w:r>
      <w:r w:rsidR="00364F1A" w:rsidRPr="00777F66">
        <w:rPr>
          <w:rFonts w:cs="Arial"/>
          <w:szCs w:val="20"/>
        </w:rPr>
        <w:t xml:space="preserve">has not been used in this workpaper. </w:t>
      </w:r>
      <w:r w:rsidR="00CA7EB7" w:rsidRPr="00777F66">
        <w:rPr>
          <w:rFonts w:cs="Arial"/>
          <w:szCs w:val="20"/>
        </w:rPr>
        <w:t>These measure</w:t>
      </w:r>
      <w:r w:rsidR="001B6FE7" w:rsidRPr="00777F66">
        <w:rPr>
          <w:rFonts w:cs="Arial"/>
          <w:szCs w:val="20"/>
        </w:rPr>
        <w:t>s</w:t>
      </w:r>
      <w:r w:rsidR="00CA7EB7" w:rsidRPr="00777F66">
        <w:rPr>
          <w:rFonts w:cs="Arial"/>
          <w:szCs w:val="20"/>
        </w:rPr>
        <w:t xml:space="preserve"> are dominantly ROB so the cost is calculated as the incremental measure cost. The labor to replace a base case and measure case is assumed to be the same so the cost is calculated as the difference of the cost of material for the base and measure case. For the direct install the labor is added and Full measure cost is calculated instead of the incremental cost.</w:t>
      </w:r>
    </w:p>
    <w:p w:rsidR="001B242B" w:rsidRPr="00777F66" w:rsidRDefault="00C069A2" w:rsidP="00D20486">
      <w:pPr>
        <w:pStyle w:val="Heading2"/>
        <w:keepNext w:val="0"/>
      </w:pPr>
      <w:bookmarkStart w:id="48" w:name="_Toc437853361"/>
      <w:r w:rsidRPr="00777F66">
        <w:t>4.1 Base Case</w:t>
      </w:r>
      <w:r w:rsidR="00C221D5" w:rsidRPr="00777F66">
        <w:t>(</w:t>
      </w:r>
      <w:r w:rsidRPr="00777F66">
        <w:t>s</w:t>
      </w:r>
      <w:r w:rsidR="00C221D5" w:rsidRPr="00777F66">
        <w:t>)</w:t>
      </w:r>
      <w:r w:rsidRPr="00777F66">
        <w:t xml:space="preserve"> Costs</w:t>
      </w:r>
      <w:bookmarkEnd w:id="48"/>
    </w:p>
    <w:p w:rsidR="00BD0D15" w:rsidRPr="00777F66" w:rsidRDefault="00B16BE4" w:rsidP="00AB2D9E">
      <w:pPr>
        <w:rPr>
          <w:rFonts w:cs="Arial"/>
          <w:szCs w:val="20"/>
        </w:rPr>
      </w:pPr>
      <w:r w:rsidRPr="00777F66">
        <w:rPr>
          <w:rFonts w:cs="Arial"/>
          <w:szCs w:val="20"/>
        </w:rPr>
        <w:t>The following Transaction type</w:t>
      </w:r>
      <w:r w:rsidR="0077091B" w:rsidRPr="00777F66">
        <w:rPr>
          <w:rFonts w:cs="Arial"/>
          <w:szCs w:val="20"/>
        </w:rPr>
        <w:t>s</w:t>
      </w:r>
      <w:r w:rsidRPr="00777F66">
        <w:rPr>
          <w:rFonts w:cs="Arial"/>
          <w:szCs w:val="20"/>
        </w:rPr>
        <w:t xml:space="preserve"> are appropriate to these measures. </w:t>
      </w:r>
      <w:r w:rsidR="00DD1C47" w:rsidRPr="00777F66">
        <w:rPr>
          <w:rFonts w:cs="Arial"/>
          <w:szCs w:val="20"/>
        </w:rPr>
        <w:t>The</w:t>
      </w:r>
      <w:r w:rsidR="00BD0D15" w:rsidRPr="00777F66">
        <w:rPr>
          <w:rFonts w:cs="Arial"/>
          <w:szCs w:val="20"/>
        </w:rPr>
        <w:t xml:space="preserve"> Base Case Costs are:</w:t>
      </w:r>
    </w:p>
    <w:p w:rsidR="00B57A54" w:rsidRPr="00777F66" w:rsidRDefault="00B57A54" w:rsidP="00AB2D9E">
      <w:pPr>
        <w:rPr>
          <w:rFonts w:cs="Arial"/>
          <w:szCs w:val="20"/>
        </w:rPr>
      </w:pPr>
    </w:p>
    <w:tbl>
      <w:tblPr>
        <w:tblW w:w="8836" w:type="dxa"/>
        <w:tblInd w:w="93" w:type="dxa"/>
        <w:tblLook w:val="04A0" w:firstRow="1" w:lastRow="0" w:firstColumn="1" w:lastColumn="0" w:noHBand="0" w:noVBand="1"/>
      </w:tblPr>
      <w:tblGrid>
        <w:gridCol w:w="1797"/>
        <w:gridCol w:w="2338"/>
        <w:gridCol w:w="2166"/>
        <w:gridCol w:w="2535"/>
      </w:tblGrid>
      <w:tr w:rsidR="006418C4" w:rsidRPr="00777F66" w:rsidTr="001B6FE7">
        <w:trPr>
          <w:trHeight w:val="1011"/>
        </w:trPr>
        <w:tc>
          <w:tcPr>
            <w:tcW w:w="179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418C4" w:rsidRPr="00777F66" w:rsidRDefault="006418C4">
            <w:pPr>
              <w:rPr>
                <w:rFonts w:cs="Arial"/>
                <w:b/>
                <w:bCs/>
                <w:i/>
                <w:iCs/>
                <w:color w:val="000000"/>
                <w:szCs w:val="20"/>
              </w:rPr>
            </w:pPr>
            <w:r w:rsidRPr="00777F66">
              <w:rPr>
                <w:rFonts w:cs="Arial"/>
                <w:b/>
                <w:bCs/>
                <w:i/>
                <w:iCs/>
                <w:color w:val="000000"/>
                <w:szCs w:val="20"/>
              </w:rPr>
              <w:t>Measure Code</w:t>
            </w:r>
          </w:p>
        </w:tc>
        <w:tc>
          <w:tcPr>
            <w:tcW w:w="2338" w:type="dxa"/>
            <w:tcBorders>
              <w:top w:val="single" w:sz="8" w:space="0" w:color="auto"/>
              <w:left w:val="nil"/>
              <w:bottom w:val="single" w:sz="8" w:space="0" w:color="auto"/>
              <w:right w:val="single" w:sz="8" w:space="0" w:color="auto"/>
            </w:tcBorders>
            <w:shd w:val="clear" w:color="auto" w:fill="auto"/>
            <w:vAlign w:val="center"/>
            <w:hideMark/>
          </w:tcPr>
          <w:p w:rsidR="006418C4" w:rsidRPr="00777F66" w:rsidRDefault="006418C4">
            <w:pPr>
              <w:rPr>
                <w:rFonts w:cs="Arial"/>
                <w:b/>
                <w:bCs/>
                <w:color w:val="000000"/>
                <w:szCs w:val="20"/>
              </w:rPr>
            </w:pPr>
            <w:r w:rsidRPr="00777F66">
              <w:rPr>
                <w:rFonts w:cs="Arial"/>
                <w:b/>
                <w:bCs/>
                <w:color w:val="000000"/>
                <w:szCs w:val="20"/>
              </w:rPr>
              <w:t>Transaction</w:t>
            </w:r>
          </w:p>
        </w:tc>
        <w:tc>
          <w:tcPr>
            <w:tcW w:w="2166" w:type="dxa"/>
            <w:tcBorders>
              <w:top w:val="single" w:sz="8" w:space="0" w:color="auto"/>
              <w:left w:val="nil"/>
              <w:bottom w:val="single" w:sz="8" w:space="0" w:color="auto"/>
              <w:right w:val="single" w:sz="8" w:space="0" w:color="auto"/>
            </w:tcBorders>
            <w:shd w:val="clear" w:color="auto" w:fill="auto"/>
            <w:vAlign w:val="center"/>
            <w:hideMark/>
          </w:tcPr>
          <w:p w:rsidR="006418C4" w:rsidRPr="00777F66" w:rsidRDefault="006418C4">
            <w:pPr>
              <w:rPr>
                <w:rFonts w:cs="Arial"/>
                <w:b/>
                <w:bCs/>
                <w:color w:val="000000"/>
                <w:szCs w:val="20"/>
              </w:rPr>
            </w:pPr>
            <w:r w:rsidRPr="00777F66">
              <w:rPr>
                <w:rFonts w:cs="Arial"/>
                <w:b/>
                <w:bCs/>
                <w:color w:val="000000"/>
                <w:szCs w:val="20"/>
              </w:rPr>
              <w:t>Baseline</w:t>
            </w:r>
          </w:p>
        </w:tc>
        <w:tc>
          <w:tcPr>
            <w:tcW w:w="2535" w:type="dxa"/>
            <w:tcBorders>
              <w:top w:val="single" w:sz="8" w:space="0" w:color="auto"/>
              <w:left w:val="nil"/>
              <w:bottom w:val="single" w:sz="8" w:space="0" w:color="auto"/>
              <w:right w:val="single" w:sz="8" w:space="0" w:color="auto"/>
            </w:tcBorders>
            <w:shd w:val="clear" w:color="auto" w:fill="auto"/>
            <w:vAlign w:val="center"/>
            <w:hideMark/>
          </w:tcPr>
          <w:p w:rsidR="006418C4" w:rsidRPr="00777F66" w:rsidRDefault="006418C4">
            <w:pPr>
              <w:rPr>
                <w:rFonts w:cs="Arial"/>
                <w:b/>
                <w:bCs/>
                <w:color w:val="000000"/>
                <w:szCs w:val="20"/>
              </w:rPr>
            </w:pPr>
            <w:r w:rsidRPr="00777F66">
              <w:rPr>
                <w:rFonts w:cs="Arial"/>
                <w:b/>
                <w:bCs/>
                <w:color w:val="000000"/>
                <w:szCs w:val="20"/>
              </w:rPr>
              <w:t>Equipment Cost</w:t>
            </w:r>
          </w:p>
        </w:tc>
      </w:tr>
      <w:tr w:rsidR="006418C4" w:rsidRPr="00777F66" w:rsidTr="001B6FE7">
        <w:trPr>
          <w:trHeight w:val="1011"/>
        </w:trPr>
        <w:tc>
          <w:tcPr>
            <w:tcW w:w="1797" w:type="dxa"/>
            <w:tcBorders>
              <w:top w:val="nil"/>
              <w:left w:val="single" w:sz="8" w:space="0" w:color="auto"/>
              <w:bottom w:val="single" w:sz="8" w:space="0" w:color="auto"/>
              <w:right w:val="single" w:sz="8" w:space="0" w:color="auto"/>
            </w:tcBorders>
            <w:shd w:val="clear" w:color="auto" w:fill="auto"/>
            <w:vAlign w:val="center"/>
            <w:hideMark/>
          </w:tcPr>
          <w:p w:rsidR="006418C4" w:rsidRPr="00777F66" w:rsidRDefault="006418C4" w:rsidP="0075532A">
            <w:pPr>
              <w:rPr>
                <w:rFonts w:cs="Arial"/>
                <w:color w:val="000000"/>
                <w:szCs w:val="20"/>
              </w:rPr>
            </w:pPr>
            <w:bookmarkStart w:id="49" w:name="RANGE!A7"/>
            <w:r w:rsidRPr="00777F66">
              <w:rPr>
                <w:rFonts w:cs="Arial"/>
                <w:color w:val="000000"/>
                <w:szCs w:val="20"/>
              </w:rPr>
              <w:t>L</w:t>
            </w:r>
            <w:r w:rsidR="0061269D" w:rsidRPr="00777F66">
              <w:rPr>
                <w:rFonts w:cs="Arial"/>
                <w:color w:val="000000"/>
                <w:szCs w:val="20"/>
              </w:rPr>
              <w:t>B03</w:t>
            </w:r>
            <w:r w:rsidRPr="00777F66">
              <w:rPr>
                <w:rFonts w:cs="Arial"/>
                <w:color w:val="000000"/>
                <w:szCs w:val="20"/>
              </w:rPr>
              <w:t>, L</w:t>
            </w:r>
            <w:r w:rsidR="0061269D" w:rsidRPr="00777F66">
              <w:rPr>
                <w:rFonts w:cs="Arial"/>
                <w:color w:val="000000"/>
                <w:szCs w:val="20"/>
              </w:rPr>
              <w:t>B07</w:t>
            </w:r>
            <w:r w:rsidRPr="00777F66">
              <w:rPr>
                <w:rFonts w:cs="Arial"/>
                <w:color w:val="000000"/>
                <w:szCs w:val="20"/>
              </w:rPr>
              <w:t>, L</w:t>
            </w:r>
            <w:bookmarkEnd w:id="49"/>
            <w:r w:rsidR="0061269D" w:rsidRPr="00777F66">
              <w:rPr>
                <w:rFonts w:cs="Arial"/>
                <w:color w:val="000000"/>
                <w:szCs w:val="20"/>
              </w:rPr>
              <w:t>B11</w:t>
            </w:r>
          </w:p>
        </w:tc>
        <w:tc>
          <w:tcPr>
            <w:tcW w:w="2338" w:type="dxa"/>
            <w:tcBorders>
              <w:top w:val="nil"/>
              <w:left w:val="nil"/>
              <w:bottom w:val="single" w:sz="8" w:space="0" w:color="auto"/>
              <w:right w:val="single" w:sz="8" w:space="0" w:color="auto"/>
            </w:tcBorders>
            <w:shd w:val="clear" w:color="auto" w:fill="auto"/>
            <w:vAlign w:val="center"/>
            <w:hideMark/>
          </w:tcPr>
          <w:p w:rsidR="006418C4" w:rsidRPr="00777F66" w:rsidRDefault="006418C4" w:rsidP="00FD0D3F">
            <w:pPr>
              <w:rPr>
                <w:rFonts w:cs="Arial"/>
                <w:color w:val="000000"/>
                <w:szCs w:val="20"/>
              </w:rPr>
            </w:pPr>
            <w:r w:rsidRPr="00777F66">
              <w:rPr>
                <w:rFonts w:cs="Arial"/>
                <w:color w:val="000000"/>
                <w:szCs w:val="20"/>
              </w:rPr>
              <w:t>ROB/</w:t>
            </w:r>
            <w:r w:rsidR="00047D18" w:rsidRPr="00777F66">
              <w:rPr>
                <w:rFonts w:cs="Arial"/>
                <w:color w:val="000000"/>
                <w:szCs w:val="20"/>
              </w:rPr>
              <w:t>DI</w:t>
            </w:r>
          </w:p>
        </w:tc>
        <w:tc>
          <w:tcPr>
            <w:tcW w:w="2166" w:type="dxa"/>
            <w:tcBorders>
              <w:top w:val="nil"/>
              <w:left w:val="nil"/>
              <w:bottom w:val="single" w:sz="8" w:space="0" w:color="auto"/>
              <w:right w:val="single" w:sz="8" w:space="0" w:color="auto"/>
            </w:tcBorders>
            <w:shd w:val="clear" w:color="auto" w:fill="auto"/>
            <w:vAlign w:val="center"/>
            <w:hideMark/>
          </w:tcPr>
          <w:p w:rsidR="006418C4" w:rsidRPr="00777F66" w:rsidRDefault="006418C4">
            <w:pPr>
              <w:rPr>
                <w:rFonts w:cs="Arial"/>
                <w:color w:val="000000"/>
                <w:szCs w:val="20"/>
              </w:rPr>
            </w:pPr>
            <w:r w:rsidRPr="00777F66">
              <w:rPr>
                <w:rFonts w:cs="Arial"/>
                <w:color w:val="000000"/>
                <w:szCs w:val="20"/>
              </w:rPr>
              <w:t>Linear Foot of T8 Fluorescent Case Lamp with ballast, single lamp profile</w:t>
            </w:r>
          </w:p>
        </w:tc>
        <w:tc>
          <w:tcPr>
            <w:tcW w:w="2535" w:type="dxa"/>
            <w:tcBorders>
              <w:top w:val="nil"/>
              <w:left w:val="nil"/>
              <w:bottom w:val="single" w:sz="8" w:space="0" w:color="auto"/>
              <w:right w:val="single" w:sz="8" w:space="0" w:color="auto"/>
            </w:tcBorders>
            <w:shd w:val="clear" w:color="auto" w:fill="auto"/>
            <w:vAlign w:val="center"/>
            <w:hideMark/>
          </w:tcPr>
          <w:p w:rsidR="006418C4" w:rsidRPr="00777F66" w:rsidRDefault="006418C4">
            <w:pPr>
              <w:jc w:val="right"/>
              <w:rPr>
                <w:rFonts w:cs="Arial"/>
                <w:color w:val="000000"/>
                <w:szCs w:val="20"/>
              </w:rPr>
            </w:pPr>
            <w:r w:rsidRPr="00777F66">
              <w:rPr>
                <w:rFonts w:cs="Arial"/>
                <w:color w:val="000000"/>
                <w:szCs w:val="20"/>
              </w:rPr>
              <w:t>$3.14</w:t>
            </w:r>
          </w:p>
        </w:tc>
      </w:tr>
      <w:tr w:rsidR="006418C4" w:rsidRPr="00777F66" w:rsidTr="001B6FE7">
        <w:trPr>
          <w:trHeight w:val="1260"/>
        </w:trPr>
        <w:tc>
          <w:tcPr>
            <w:tcW w:w="1797" w:type="dxa"/>
            <w:tcBorders>
              <w:top w:val="nil"/>
              <w:left w:val="single" w:sz="8" w:space="0" w:color="auto"/>
              <w:bottom w:val="single" w:sz="8" w:space="0" w:color="auto"/>
              <w:right w:val="single" w:sz="8" w:space="0" w:color="auto"/>
            </w:tcBorders>
            <w:shd w:val="clear" w:color="auto" w:fill="auto"/>
            <w:vAlign w:val="center"/>
            <w:hideMark/>
          </w:tcPr>
          <w:p w:rsidR="006418C4" w:rsidRPr="00777F66" w:rsidRDefault="006418C4" w:rsidP="0075532A">
            <w:pPr>
              <w:rPr>
                <w:rFonts w:cs="Arial"/>
                <w:color w:val="000000"/>
                <w:szCs w:val="20"/>
              </w:rPr>
            </w:pPr>
            <w:r w:rsidRPr="00777F66">
              <w:rPr>
                <w:rFonts w:cs="Arial"/>
                <w:color w:val="000000"/>
                <w:szCs w:val="20"/>
              </w:rPr>
              <w:t>L</w:t>
            </w:r>
            <w:r w:rsidR="000A4416" w:rsidRPr="00777F66">
              <w:rPr>
                <w:rFonts w:cs="Arial"/>
                <w:color w:val="000000"/>
                <w:szCs w:val="20"/>
              </w:rPr>
              <w:t>B05</w:t>
            </w:r>
            <w:r w:rsidRPr="00777F66">
              <w:rPr>
                <w:rFonts w:cs="Arial"/>
                <w:color w:val="000000"/>
                <w:szCs w:val="20"/>
              </w:rPr>
              <w:t>, L</w:t>
            </w:r>
            <w:r w:rsidR="000A4416" w:rsidRPr="00777F66">
              <w:rPr>
                <w:rFonts w:cs="Arial"/>
                <w:color w:val="000000"/>
                <w:szCs w:val="20"/>
              </w:rPr>
              <w:t>B09</w:t>
            </w:r>
            <w:r w:rsidRPr="00777F66">
              <w:rPr>
                <w:rFonts w:cs="Arial"/>
                <w:color w:val="000000"/>
                <w:szCs w:val="20"/>
              </w:rPr>
              <w:t>, L</w:t>
            </w:r>
            <w:r w:rsidR="000A4416" w:rsidRPr="00777F66">
              <w:rPr>
                <w:rFonts w:cs="Arial"/>
                <w:color w:val="000000"/>
                <w:szCs w:val="20"/>
              </w:rPr>
              <w:t>B13</w:t>
            </w:r>
          </w:p>
        </w:tc>
        <w:tc>
          <w:tcPr>
            <w:tcW w:w="2338" w:type="dxa"/>
            <w:tcBorders>
              <w:top w:val="nil"/>
              <w:left w:val="nil"/>
              <w:bottom w:val="single" w:sz="8" w:space="0" w:color="auto"/>
              <w:right w:val="single" w:sz="8" w:space="0" w:color="auto"/>
            </w:tcBorders>
            <w:shd w:val="clear" w:color="auto" w:fill="auto"/>
            <w:vAlign w:val="center"/>
            <w:hideMark/>
          </w:tcPr>
          <w:p w:rsidR="006418C4" w:rsidRPr="00777F66" w:rsidRDefault="006418C4" w:rsidP="00FD0D3F">
            <w:pPr>
              <w:rPr>
                <w:rFonts w:cs="Arial"/>
                <w:color w:val="000000"/>
                <w:szCs w:val="20"/>
              </w:rPr>
            </w:pPr>
            <w:r w:rsidRPr="00777F66">
              <w:rPr>
                <w:rFonts w:cs="Arial"/>
                <w:color w:val="000000"/>
                <w:szCs w:val="20"/>
              </w:rPr>
              <w:t>ROB/</w:t>
            </w:r>
            <w:r w:rsidR="00047D18" w:rsidRPr="00777F66">
              <w:rPr>
                <w:rFonts w:cs="Arial"/>
                <w:color w:val="000000"/>
                <w:szCs w:val="20"/>
              </w:rPr>
              <w:t>DI</w:t>
            </w:r>
          </w:p>
        </w:tc>
        <w:tc>
          <w:tcPr>
            <w:tcW w:w="2166" w:type="dxa"/>
            <w:tcBorders>
              <w:top w:val="nil"/>
              <w:left w:val="nil"/>
              <w:bottom w:val="single" w:sz="8" w:space="0" w:color="auto"/>
              <w:right w:val="single" w:sz="8" w:space="0" w:color="auto"/>
            </w:tcBorders>
            <w:shd w:val="clear" w:color="auto" w:fill="auto"/>
            <w:vAlign w:val="center"/>
            <w:hideMark/>
          </w:tcPr>
          <w:p w:rsidR="006418C4" w:rsidRPr="00777F66" w:rsidRDefault="006418C4">
            <w:pPr>
              <w:rPr>
                <w:rFonts w:cs="Arial"/>
                <w:color w:val="000000"/>
                <w:szCs w:val="20"/>
              </w:rPr>
            </w:pPr>
            <w:r w:rsidRPr="00777F66">
              <w:rPr>
                <w:rFonts w:cs="Arial"/>
                <w:color w:val="000000"/>
                <w:szCs w:val="20"/>
              </w:rPr>
              <w:t>Linear Foot of T12HO Fluorescent Case Lamp with ballast, single lamp profile</w:t>
            </w:r>
          </w:p>
        </w:tc>
        <w:tc>
          <w:tcPr>
            <w:tcW w:w="2535" w:type="dxa"/>
            <w:tcBorders>
              <w:top w:val="nil"/>
              <w:left w:val="nil"/>
              <w:bottom w:val="single" w:sz="8" w:space="0" w:color="auto"/>
              <w:right w:val="single" w:sz="8" w:space="0" w:color="auto"/>
            </w:tcBorders>
            <w:shd w:val="clear" w:color="auto" w:fill="auto"/>
            <w:vAlign w:val="center"/>
            <w:hideMark/>
          </w:tcPr>
          <w:p w:rsidR="006418C4" w:rsidRPr="00777F66" w:rsidRDefault="006418C4">
            <w:pPr>
              <w:jc w:val="right"/>
              <w:rPr>
                <w:rFonts w:cs="Arial"/>
                <w:color w:val="000000"/>
                <w:szCs w:val="20"/>
              </w:rPr>
            </w:pPr>
            <w:r w:rsidRPr="00777F66">
              <w:rPr>
                <w:rFonts w:cs="Arial"/>
                <w:color w:val="000000"/>
                <w:szCs w:val="20"/>
              </w:rPr>
              <w:t>$7.01</w:t>
            </w:r>
          </w:p>
        </w:tc>
      </w:tr>
      <w:tr w:rsidR="006418C4" w:rsidRPr="00777F66" w:rsidTr="001B6FE7">
        <w:trPr>
          <w:trHeight w:val="1260"/>
        </w:trPr>
        <w:tc>
          <w:tcPr>
            <w:tcW w:w="1797" w:type="dxa"/>
            <w:tcBorders>
              <w:top w:val="nil"/>
              <w:left w:val="single" w:sz="8" w:space="0" w:color="auto"/>
              <w:bottom w:val="single" w:sz="8" w:space="0" w:color="auto"/>
              <w:right w:val="single" w:sz="8" w:space="0" w:color="auto"/>
            </w:tcBorders>
            <w:shd w:val="clear" w:color="auto" w:fill="auto"/>
            <w:vAlign w:val="center"/>
            <w:hideMark/>
          </w:tcPr>
          <w:p w:rsidR="006418C4" w:rsidRPr="00777F66" w:rsidRDefault="0075532A">
            <w:pPr>
              <w:rPr>
                <w:rFonts w:cs="Arial"/>
                <w:color w:val="000000"/>
                <w:szCs w:val="20"/>
              </w:rPr>
            </w:pPr>
            <w:r w:rsidRPr="00777F66">
              <w:rPr>
                <w:rFonts w:cs="Arial"/>
                <w:color w:val="000000"/>
                <w:szCs w:val="20"/>
              </w:rPr>
              <w:t>LC01, LC05, LC09, LC13</w:t>
            </w:r>
          </w:p>
        </w:tc>
        <w:tc>
          <w:tcPr>
            <w:tcW w:w="2338" w:type="dxa"/>
            <w:tcBorders>
              <w:top w:val="nil"/>
              <w:left w:val="nil"/>
              <w:bottom w:val="single" w:sz="8" w:space="0" w:color="auto"/>
              <w:right w:val="single" w:sz="8" w:space="0" w:color="auto"/>
            </w:tcBorders>
            <w:shd w:val="clear" w:color="auto" w:fill="auto"/>
            <w:vAlign w:val="center"/>
            <w:hideMark/>
          </w:tcPr>
          <w:p w:rsidR="006418C4" w:rsidRPr="00777F66" w:rsidRDefault="006418C4" w:rsidP="00FD0D3F">
            <w:pPr>
              <w:rPr>
                <w:rFonts w:cs="Arial"/>
                <w:color w:val="000000"/>
                <w:szCs w:val="20"/>
              </w:rPr>
            </w:pPr>
            <w:r w:rsidRPr="00777F66">
              <w:rPr>
                <w:rFonts w:cs="Arial"/>
                <w:color w:val="000000"/>
                <w:szCs w:val="20"/>
              </w:rPr>
              <w:t>ROB/</w:t>
            </w:r>
            <w:r w:rsidR="00047D18" w:rsidRPr="00777F66">
              <w:rPr>
                <w:rFonts w:cs="Arial"/>
                <w:color w:val="000000"/>
                <w:szCs w:val="20"/>
              </w:rPr>
              <w:t>DI</w:t>
            </w:r>
          </w:p>
        </w:tc>
        <w:tc>
          <w:tcPr>
            <w:tcW w:w="2166" w:type="dxa"/>
            <w:tcBorders>
              <w:top w:val="nil"/>
              <w:left w:val="nil"/>
              <w:bottom w:val="single" w:sz="8" w:space="0" w:color="auto"/>
              <w:right w:val="single" w:sz="8" w:space="0" w:color="auto"/>
            </w:tcBorders>
            <w:shd w:val="clear" w:color="auto" w:fill="auto"/>
            <w:vAlign w:val="center"/>
            <w:hideMark/>
          </w:tcPr>
          <w:p w:rsidR="006418C4" w:rsidRPr="00777F66" w:rsidRDefault="006418C4">
            <w:pPr>
              <w:rPr>
                <w:rFonts w:cs="Arial"/>
                <w:color w:val="000000"/>
                <w:szCs w:val="20"/>
              </w:rPr>
            </w:pPr>
            <w:r w:rsidRPr="00777F66">
              <w:rPr>
                <w:rFonts w:cs="Arial"/>
                <w:color w:val="000000"/>
                <w:szCs w:val="20"/>
              </w:rPr>
              <w:t>Linear Foot of T8 Fluorescent Case Lamp with ballast, multiple lamp profile</w:t>
            </w:r>
          </w:p>
        </w:tc>
        <w:tc>
          <w:tcPr>
            <w:tcW w:w="2535" w:type="dxa"/>
            <w:tcBorders>
              <w:top w:val="nil"/>
              <w:left w:val="nil"/>
              <w:bottom w:val="single" w:sz="8" w:space="0" w:color="auto"/>
              <w:right w:val="single" w:sz="8" w:space="0" w:color="auto"/>
            </w:tcBorders>
            <w:shd w:val="clear" w:color="auto" w:fill="auto"/>
            <w:vAlign w:val="center"/>
            <w:hideMark/>
          </w:tcPr>
          <w:p w:rsidR="006418C4" w:rsidRPr="00777F66" w:rsidRDefault="006418C4">
            <w:pPr>
              <w:jc w:val="right"/>
              <w:rPr>
                <w:rFonts w:cs="Arial"/>
                <w:color w:val="000000"/>
                <w:szCs w:val="20"/>
              </w:rPr>
            </w:pPr>
            <w:r w:rsidRPr="00777F66">
              <w:rPr>
                <w:rFonts w:cs="Arial"/>
                <w:color w:val="000000"/>
                <w:szCs w:val="20"/>
              </w:rPr>
              <w:t xml:space="preserve">$6.28 </w:t>
            </w:r>
          </w:p>
        </w:tc>
      </w:tr>
      <w:tr w:rsidR="006418C4" w:rsidRPr="00777F66" w:rsidTr="001B6FE7">
        <w:trPr>
          <w:trHeight w:val="1509"/>
        </w:trPr>
        <w:tc>
          <w:tcPr>
            <w:tcW w:w="1797" w:type="dxa"/>
            <w:tcBorders>
              <w:top w:val="nil"/>
              <w:left w:val="single" w:sz="8" w:space="0" w:color="auto"/>
              <w:bottom w:val="single" w:sz="8" w:space="0" w:color="auto"/>
              <w:right w:val="single" w:sz="8" w:space="0" w:color="auto"/>
            </w:tcBorders>
            <w:shd w:val="clear" w:color="auto" w:fill="auto"/>
            <w:vAlign w:val="center"/>
            <w:hideMark/>
          </w:tcPr>
          <w:p w:rsidR="006418C4" w:rsidRPr="00777F66" w:rsidRDefault="0075532A">
            <w:pPr>
              <w:rPr>
                <w:rFonts w:cs="Arial"/>
                <w:color w:val="000000"/>
                <w:szCs w:val="20"/>
              </w:rPr>
            </w:pPr>
            <w:r w:rsidRPr="00777F66">
              <w:rPr>
                <w:rFonts w:cs="Arial"/>
                <w:color w:val="000000"/>
                <w:szCs w:val="20"/>
              </w:rPr>
              <w:t>LC03, LC07, LC11, LC15</w:t>
            </w:r>
          </w:p>
        </w:tc>
        <w:tc>
          <w:tcPr>
            <w:tcW w:w="2338" w:type="dxa"/>
            <w:tcBorders>
              <w:top w:val="nil"/>
              <w:left w:val="nil"/>
              <w:bottom w:val="single" w:sz="8" w:space="0" w:color="auto"/>
              <w:right w:val="single" w:sz="8" w:space="0" w:color="auto"/>
            </w:tcBorders>
            <w:shd w:val="clear" w:color="auto" w:fill="auto"/>
            <w:vAlign w:val="center"/>
            <w:hideMark/>
          </w:tcPr>
          <w:p w:rsidR="006418C4" w:rsidRPr="00777F66" w:rsidRDefault="006418C4" w:rsidP="00FD0D3F">
            <w:pPr>
              <w:rPr>
                <w:rFonts w:cs="Arial"/>
                <w:color w:val="000000"/>
                <w:szCs w:val="20"/>
              </w:rPr>
            </w:pPr>
            <w:r w:rsidRPr="00777F66">
              <w:rPr>
                <w:rFonts w:cs="Arial"/>
                <w:color w:val="000000"/>
                <w:szCs w:val="20"/>
              </w:rPr>
              <w:t>ROB/</w:t>
            </w:r>
            <w:r w:rsidR="00047D18" w:rsidRPr="00777F66">
              <w:rPr>
                <w:rFonts w:cs="Arial"/>
                <w:color w:val="000000"/>
                <w:szCs w:val="20"/>
              </w:rPr>
              <w:t>DI</w:t>
            </w:r>
          </w:p>
        </w:tc>
        <w:tc>
          <w:tcPr>
            <w:tcW w:w="2166" w:type="dxa"/>
            <w:tcBorders>
              <w:top w:val="nil"/>
              <w:left w:val="nil"/>
              <w:bottom w:val="single" w:sz="8" w:space="0" w:color="auto"/>
              <w:right w:val="single" w:sz="8" w:space="0" w:color="auto"/>
            </w:tcBorders>
            <w:shd w:val="clear" w:color="auto" w:fill="auto"/>
            <w:vAlign w:val="center"/>
            <w:hideMark/>
          </w:tcPr>
          <w:p w:rsidR="006418C4" w:rsidRPr="00777F66" w:rsidRDefault="006418C4">
            <w:pPr>
              <w:rPr>
                <w:rFonts w:cs="Arial"/>
                <w:color w:val="000000"/>
                <w:szCs w:val="20"/>
              </w:rPr>
            </w:pPr>
            <w:r w:rsidRPr="00777F66">
              <w:rPr>
                <w:rFonts w:cs="Arial"/>
                <w:color w:val="000000"/>
                <w:szCs w:val="20"/>
              </w:rPr>
              <w:t>Linear Foot of T12HO Fluorescent Case Lamp with ballast, multiple lamp profile</w:t>
            </w:r>
          </w:p>
        </w:tc>
        <w:tc>
          <w:tcPr>
            <w:tcW w:w="2535" w:type="dxa"/>
            <w:tcBorders>
              <w:top w:val="nil"/>
              <w:left w:val="nil"/>
              <w:bottom w:val="single" w:sz="8" w:space="0" w:color="auto"/>
              <w:right w:val="single" w:sz="8" w:space="0" w:color="auto"/>
            </w:tcBorders>
            <w:shd w:val="clear" w:color="auto" w:fill="auto"/>
            <w:vAlign w:val="center"/>
            <w:hideMark/>
          </w:tcPr>
          <w:p w:rsidR="006418C4" w:rsidRPr="00777F66" w:rsidRDefault="006418C4">
            <w:pPr>
              <w:jc w:val="right"/>
              <w:rPr>
                <w:rFonts w:cs="Arial"/>
                <w:color w:val="000000"/>
                <w:szCs w:val="20"/>
              </w:rPr>
            </w:pPr>
            <w:r w:rsidRPr="00777F66">
              <w:rPr>
                <w:rFonts w:cs="Arial"/>
                <w:color w:val="000000"/>
                <w:szCs w:val="20"/>
              </w:rPr>
              <w:t xml:space="preserve">$14.03 </w:t>
            </w:r>
          </w:p>
        </w:tc>
      </w:tr>
    </w:tbl>
    <w:p w:rsidR="00BD0D15" w:rsidRPr="00777F66" w:rsidRDefault="00DD1C47" w:rsidP="00AB2D9E">
      <w:pPr>
        <w:rPr>
          <w:rFonts w:cs="Arial"/>
          <w:i/>
          <w:szCs w:val="20"/>
        </w:rPr>
      </w:pPr>
      <w:r w:rsidRPr="00777F66">
        <w:rPr>
          <w:rFonts w:cs="Arial"/>
          <w:i/>
          <w:szCs w:val="20"/>
        </w:rPr>
        <w:t xml:space="preserve">All costs are noted as $ per </w:t>
      </w:r>
      <w:r w:rsidR="00641C73" w:rsidRPr="00777F66">
        <w:rPr>
          <w:rFonts w:cs="Arial"/>
          <w:i/>
          <w:szCs w:val="20"/>
        </w:rPr>
        <w:t>linear foot</w:t>
      </w:r>
    </w:p>
    <w:p w:rsidR="00077DC4" w:rsidRPr="00777F66" w:rsidRDefault="00077DC4" w:rsidP="00AB2D9E">
      <w:pPr>
        <w:rPr>
          <w:rFonts w:cs="Arial"/>
          <w:szCs w:val="20"/>
        </w:rPr>
      </w:pPr>
    </w:p>
    <w:p w:rsidR="00EF399B" w:rsidRPr="00777F66" w:rsidRDefault="00EF399B" w:rsidP="00EF399B">
      <w:pPr>
        <w:rPr>
          <w:rFonts w:cs="Arial"/>
          <w:szCs w:val="20"/>
        </w:rPr>
      </w:pPr>
      <w:r w:rsidRPr="00777F66">
        <w:rPr>
          <w:rFonts w:cs="Arial"/>
          <w:szCs w:val="20"/>
        </w:rPr>
        <w:t xml:space="preserve">Base case </w:t>
      </w:r>
      <w:r w:rsidR="00641C73" w:rsidRPr="00777F66">
        <w:rPr>
          <w:rFonts w:cs="Arial"/>
          <w:szCs w:val="20"/>
        </w:rPr>
        <w:t>linear foot</w:t>
      </w:r>
      <w:r w:rsidRPr="00777F66">
        <w:rPr>
          <w:rFonts w:cs="Arial"/>
          <w:szCs w:val="20"/>
        </w:rPr>
        <w:t xml:space="preserve"> costs are based on an extensive survey of distributors from 2010, and updated quotes provided by contractors, fixture manufacturers, and sales reps in 2012</w:t>
      </w:r>
      <w:bookmarkStart w:id="50" w:name="_Ref328383251"/>
      <w:r w:rsidR="00203F56" w:rsidRPr="00777F66">
        <w:rPr>
          <w:rStyle w:val="EndnoteReference"/>
          <w:rFonts w:cs="Arial"/>
          <w:szCs w:val="20"/>
        </w:rPr>
        <w:endnoteReference w:id="10"/>
      </w:r>
      <w:bookmarkEnd w:id="50"/>
      <w:r w:rsidRPr="00777F66">
        <w:rPr>
          <w:rFonts w:cs="Arial"/>
          <w:szCs w:val="20"/>
        </w:rPr>
        <w:t xml:space="preserve">.  </w:t>
      </w:r>
    </w:p>
    <w:p w:rsidR="00C069A2" w:rsidRPr="00777F66" w:rsidRDefault="00663A00" w:rsidP="002E0043">
      <w:pPr>
        <w:pStyle w:val="Heading2"/>
        <w:keepNext w:val="0"/>
      </w:pPr>
      <w:bookmarkStart w:id="51" w:name="_Toc437853362"/>
      <w:r w:rsidRPr="00777F66">
        <w:t>4.2 Meas</w:t>
      </w:r>
      <w:r w:rsidR="00C069A2" w:rsidRPr="00777F66">
        <w:t xml:space="preserve">ure </w:t>
      </w:r>
      <w:r w:rsidR="00930877" w:rsidRPr="00777F66">
        <w:t xml:space="preserve">Case </w:t>
      </w:r>
      <w:r w:rsidR="00C069A2" w:rsidRPr="00777F66">
        <w:t>Costs</w:t>
      </w:r>
      <w:bookmarkEnd w:id="51"/>
      <w:r w:rsidR="00930877" w:rsidRPr="00777F66">
        <w:t xml:space="preserve"> </w:t>
      </w:r>
    </w:p>
    <w:p w:rsidR="00DD1C47" w:rsidRPr="00777F66" w:rsidRDefault="0077091B" w:rsidP="00DD1C47">
      <w:pPr>
        <w:rPr>
          <w:rFonts w:cs="Arial"/>
          <w:szCs w:val="20"/>
        </w:rPr>
      </w:pPr>
      <w:r w:rsidRPr="00777F66">
        <w:rPr>
          <w:rFonts w:cs="Arial"/>
          <w:szCs w:val="20"/>
        </w:rPr>
        <w:t xml:space="preserve">The following Transaction types are appropriate to these measures. </w:t>
      </w:r>
      <w:r w:rsidR="00DD1C47" w:rsidRPr="00777F66">
        <w:rPr>
          <w:rFonts w:cs="Arial"/>
          <w:szCs w:val="20"/>
        </w:rPr>
        <w:t>The Measure Case Costs are:</w:t>
      </w:r>
    </w:p>
    <w:p w:rsidR="00B57A54" w:rsidRPr="00777F66" w:rsidRDefault="00B57A54" w:rsidP="00DD1C47">
      <w:pPr>
        <w:rPr>
          <w:rFonts w:cs="Arial"/>
          <w:szCs w:val="20"/>
        </w:rPr>
      </w:pPr>
    </w:p>
    <w:tbl>
      <w:tblPr>
        <w:tblW w:w="8026" w:type="dxa"/>
        <w:tblInd w:w="98" w:type="dxa"/>
        <w:tblLook w:val="04A0" w:firstRow="1" w:lastRow="0" w:firstColumn="1" w:lastColumn="0" w:noHBand="0" w:noVBand="1"/>
      </w:tblPr>
      <w:tblGrid>
        <w:gridCol w:w="1595"/>
        <w:gridCol w:w="2310"/>
        <w:gridCol w:w="2774"/>
        <w:gridCol w:w="1347"/>
      </w:tblGrid>
      <w:tr w:rsidR="00047D18" w:rsidRPr="00777F66" w:rsidTr="00047D18">
        <w:trPr>
          <w:trHeight w:val="780"/>
        </w:trPr>
        <w:tc>
          <w:tcPr>
            <w:tcW w:w="159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47D18" w:rsidRPr="00777F66" w:rsidRDefault="00047D18">
            <w:pPr>
              <w:jc w:val="center"/>
              <w:rPr>
                <w:rFonts w:cs="Arial"/>
                <w:b/>
                <w:color w:val="000000"/>
                <w:szCs w:val="20"/>
              </w:rPr>
            </w:pPr>
            <w:r w:rsidRPr="00777F66">
              <w:rPr>
                <w:rFonts w:cs="Arial"/>
                <w:b/>
                <w:color w:val="000000"/>
                <w:szCs w:val="20"/>
              </w:rPr>
              <w:lastRenderedPageBreak/>
              <w:t xml:space="preserve">Measure Code </w:t>
            </w:r>
          </w:p>
        </w:tc>
        <w:tc>
          <w:tcPr>
            <w:tcW w:w="2310" w:type="dxa"/>
            <w:tcBorders>
              <w:top w:val="single" w:sz="4" w:space="0" w:color="auto"/>
              <w:left w:val="single" w:sz="4" w:space="0" w:color="auto"/>
              <w:bottom w:val="single" w:sz="4" w:space="0" w:color="auto"/>
              <w:right w:val="single" w:sz="4" w:space="0" w:color="auto"/>
            </w:tcBorders>
            <w:vAlign w:val="center"/>
          </w:tcPr>
          <w:p w:rsidR="00047D18" w:rsidRPr="00777F66" w:rsidRDefault="00047D18" w:rsidP="00047D18">
            <w:pPr>
              <w:jc w:val="center"/>
              <w:rPr>
                <w:rFonts w:cs="Arial"/>
                <w:b/>
                <w:color w:val="000000"/>
                <w:szCs w:val="20"/>
              </w:rPr>
            </w:pPr>
            <w:r w:rsidRPr="00777F66">
              <w:rPr>
                <w:rFonts w:cs="Arial"/>
                <w:b/>
                <w:color w:val="000000"/>
                <w:szCs w:val="20"/>
              </w:rPr>
              <w:t>Transaction</w:t>
            </w:r>
          </w:p>
        </w:tc>
        <w:tc>
          <w:tcPr>
            <w:tcW w:w="27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7D18" w:rsidRPr="00777F66" w:rsidRDefault="00047D18" w:rsidP="00047D18">
            <w:pPr>
              <w:jc w:val="center"/>
              <w:rPr>
                <w:rFonts w:cs="Arial"/>
                <w:b/>
                <w:color w:val="000000"/>
                <w:szCs w:val="20"/>
              </w:rPr>
            </w:pPr>
            <w:r w:rsidRPr="00777F66">
              <w:rPr>
                <w:rFonts w:cs="Arial"/>
                <w:b/>
                <w:color w:val="000000"/>
                <w:szCs w:val="20"/>
              </w:rPr>
              <w:t xml:space="preserve">Measure Case </w:t>
            </w:r>
          </w:p>
        </w:tc>
        <w:tc>
          <w:tcPr>
            <w:tcW w:w="1347"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047D18" w:rsidRPr="00777F66" w:rsidRDefault="00047D18">
            <w:pPr>
              <w:jc w:val="center"/>
              <w:rPr>
                <w:rFonts w:cs="Arial"/>
                <w:b/>
                <w:color w:val="000000"/>
                <w:szCs w:val="20"/>
              </w:rPr>
            </w:pPr>
            <w:r w:rsidRPr="00777F66">
              <w:rPr>
                <w:rFonts w:cs="Arial"/>
                <w:b/>
                <w:color w:val="000000"/>
                <w:szCs w:val="20"/>
              </w:rPr>
              <w:t>Measure Equipment Cost</w:t>
            </w:r>
          </w:p>
        </w:tc>
      </w:tr>
      <w:tr w:rsidR="00047D18" w:rsidRPr="00777F66" w:rsidTr="00047D18">
        <w:trPr>
          <w:trHeight w:val="799"/>
        </w:trPr>
        <w:tc>
          <w:tcPr>
            <w:tcW w:w="1595" w:type="dxa"/>
            <w:tcBorders>
              <w:top w:val="nil"/>
              <w:left w:val="single" w:sz="8" w:space="0" w:color="auto"/>
              <w:bottom w:val="single" w:sz="8" w:space="0" w:color="auto"/>
              <w:right w:val="single" w:sz="4" w:space="0" w:color="auto"/>
            </w:tcBorders>
            <w:shd w:val="clear" w:color="auto" w:fill="auto"/>
            <w:vAlign w:val="center"/>
            <w:hideMark/>
          </w:tcPr>
          <w:p w:rsidR="00047D18" w:rsidRPr="00777F66" w:rsidRDefault="00047D18" w:rsidP="00450FA6">
            <w:pPr>
              <w:jc w:val="center"/>
              <w:rPr>
                <w:rFonts w:cs="Arial"/>
                <w:color w:val="000000"/>
                <w:szCs w:val="20"/>
              </w:rPr>
            </w:pPr>
            <w:r w:rsidRPr="00777F66">
              <w:rPr>
                <w:rFonts w:cs="Arial"/>
                <w:color w:val="000000"/>
                <w:szCs w:val="20"/>
              </w:rPr>
              <w:t>L</w:t>
            </w:r>
            <w:r w:rsidR="00450FA6" w:rsidRPr="00777F66">
              <w:rPr>
                <w:rFonts w:cs="Arial"/>
                <w:color w:val="000000"/>
                <w:szCs w:val="20"/>
              </w:rPr>
              <w:t>B03</w:t>
            </w:r>
            <w:r w:rsidRPr="00777F66">
              <w:rPr>
                <w:rFonts w:cs="Arial"/>
                <w:color w:val="000000"/>
                <w:szCs w:val="20"/>
              </w:rPr>
              <w:t>, L</w:t>
            </w:r>
            <w:r w:rsidR="00450FA6" w:rsidRPr="00777F66">
              <w:rPr>
                <w:rFonts w:cs="Arial"/>
                <w:color w:val="000000"/>
                <w:szCs w:val="20"/>
              </w:rPr>
              <w:t>B05</w:t>
            </w:r>
            <w:r w:rsidRPr="00777F66">
              <w:rPr>
                <w:rFonts w:cs="Arial"/>
                <w:color w:val="000000"/>
                <w:szCs w:val="20"/>
              </w:rPr>
              <w:t>, L</w:t>
            </w:r>
            <w:r w:rsidR="00450FA6" w:rsidRPr="00777F66">
              <w:rPr>
                <w:rFonts w:cs="Arial"/>
                <w:color w:val="000000"/>
                <w:szCs w:val="20"/>
              </w:rPr>
              <w:t>B07</w:t>
            </w:r>
            <w:r w:rsidRPr="00777F66">
              <w:rPr>
                <w:rFonts w:cs="Arial"/>
                <w:color w:val="000000"/>
                <w:szCs w:val="20"/>
              </w:rPr>
              <w:t>, L</w:t>
            </w:r>
            <w:r w:rsidR="00450FA6" w:rsidRPr="00777F66">
              <w:rPr>
                <w:rFonts w:cs="Arial"/>
                <w:color w:val="000000"/>
                <w:szCs w:val="20"/>
              </w:rPr>
              <w:t>B09</w:t>
            </w:r>
            <w:r w:rsidRPr="00777F66">
              <w:rPr>
                <w:rFonts w:cs="Arial"/>
                <w:color w:val="000000"/>
                <w:szCs w:val="20"/>
              </w:rPr>
              <w:t>, L</w:t>
            </w:r>
            <w:r w:rsidR="00450FA6" w:rsidRPr="00777F66">
              <w:rPr>
                <w:rFonts w:cs="Arial"/>
                <w:color w:val="000000"/>
                <w:szCs w:val="20"/>
              </w:rPr>
              <w:t>B11</w:t>
            </w:r>
            <w:r w:rsidRPr="00777F66">
              <w:rPr>
                <w:rFonts w:cs="Arial"/>
                <w:color w:val="000000"/>
                <w:szCs w:val="20"/>
              </w:rPr>
              <w:t>, L</w:t>
            </w:r>
            <w:r w:rsidR="00450FA6" w:rsidRPr="00777F66">
              <w:rPr>
                <w:rFonts w:cs="Arial"/>
                <w:color w:val="000000"/>
                <w:szCs w:val="20"/>
              </w:rPr>
              <w:t>B13</w:t>
            </w:r>
          </w:p>
        </w:tc>
        <w:tc>
          <w:tcPr>
            <w:tcW w:w="2310" w:type="dxa"/>
            <w:tcBorders>
              <w:top w:val="single" w:sz="4" w:space="0" w:color="auto"/>
              <w:left w:val="single" w:sz="4" w:space="0" w:color="auto"/>
              <w:bottom w:val="single" w:sz="4" w:space="0" w:color="auto"/>
              <w:right w:val="single" w:sz="4" w:space="0" w:color="auto"/>
            </w:tcBorders>
            <w:vAlign w:val="center"/>
          </w:tcPr>
          <w:p w:rsidR="00047D18" w:rsidRPr="00777F66" w:rsidRDefault="00047D18" w:rsidP="00FD0D3F">
            <w:pPr>
              <w:jc w:val="center"/>
              <w:rPr>
                <w:rFonts w:cs="Arial"/>
                <w:color w:val="000000"/>
                <w:szCs w:val="20"/>
              </w:rPr>
            </w:pPr>
            <w:r w:rsidRPr="00777F66">
              <w:rPr>
                <w:rFonts w:cs="Arial"/>
                <w:color w:val="000000"/>
                <w:szCs w:val="20"/>
              </w:rPr>
              <w:t>ROB</w:t>
            </w:r>
          </w:p>
        </w:tc>
        <w:tc>
          <w:tcPr>
            <w:tcW w:w="27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7D18" w:rsidRPr="00777F66" w:rsidRDefault="00047D18">
            <w:pPr>
              <w:jc w:val="center"/>
              <w:rPr>
                <w:rFonts w:cs="Arial"/>
                <w:color w:val="000000"/>
                <w:szCs w:val="20"/>
              </w:rPr>
            </w:pPr>
            <w:r w:rsidRPr="00777F66">
              <w:rPr>
                <w:rFonts w:cs="Arial"/>
                <w:color w:val="000000"/>
                <w:szCs w:val="20"/>
              </w:rPr>
              <w:t>Linear foot of LED Lightbar, no occupancy sensor control replacing single lamp profile</w:t>
            </w:r>
          </w:p>
        </w:tc>
        <w:tc>
          <w:tcPr>
            <w:tcW w:w="1347" w:type="dxa"/>
            <w:tcBorders>
              <w:top w:val="nil"/>
              <w:left w:val="single" w:sz="4" w:space="0" w:color="auto"/>
              <w:bottom w:val="single" w:sz="8" w:space="0" w:color="auto"/>
              <w:right w:val="single" w:sz="8" w:space="0" w:color="auto"/>
            </w:tcBorders>
            <w:shd w:val="clear" w:color="auto" w:fill="auto"/>
            <w:vAlign w:val="center"/>
            <w:hideMark/>
          </w:tcPr>
          <w:p w:rsidR="00047D18" w:rsidRPr="00777F66" w:rsidRDefault="00047D18">
            <w:pPr>
              <w:jc w:val="right"/>
              <w:rPr>
                <w:rFonts w:cs="Arial"/>
                <w:color w:val="000000"/>
                <w:szCs w:val="20"/>
              </w:rPr>
            </w:pPr>
            <w:r w:rsidRPr="00777F66">
              <w:rPr>
                <w:rFonts w:cs="Arial"/>
                <w:color w:val="000000"/>
                <w:szCs w:val="20"/>
              </w:rPr>
              <w:t>$24.84</w:t>
            </w:r>
          </w:p>
        </w:tc>
      </w:tr>
      <w:tr w:rsidR="00047D18" w:rsidRPr="00777F66" w:rsidTr="00047D18">
        <w:trPr>
          <w:trHeight w:val="799"/>
        </w:trPr>
        <w:tc>
          <w:tcPr>
            <w:tcW w:w="1595" w:type="dxa"/>
            <w:tcBorders>
              <w:top w:val="nil"/>
              <w:left w:val="single" w:sz="8" w:space="0" w:color="auto"/>
              <w:bottom w:val="single" w:sz="8" w:space="0" w:color="auto"/>
              <w:right w:val="single" w:sz="4" w:space="0" w:color="auto"/>
            </w:tcBorders>
            <w:shd w:val="clear" w:color="auto" w:fill="auto"/>
            <w:vAlign w:val="center"/>
            <w:hideMark/>
          </w:tcPr>
          <w:p w:rsidR="00047D18" w:rsidRPr="00777F66" w:rsidRDefault="0075532A">
            <w:pPr>
              <w:jc w:val="center"/>
              <w:rPr>
                <w:rFonts w:cs="Arial"/>
                <w:color w:val="000000"/>
                <w:szCs w:val="20"/>
              </w:rPr>
            </w:pPr>
            <w:r w:rsidRPr="00777F66">
              <w:rPr>
                <w:rFonts w:cs="Arial"/>
                <w:color w:val="000000"/>
                <w:szCs w:val="20"/>
              </w:rPr>
              <w:t>LC01, LC05, LC09, LC13,</w:t>
            </w:r>
          </w:p>
          <w:p w:rsidR="0075532A" w:rsidRPr="00777F66" w:rsidRDefault="0075532A">
            <w:pPr>
              <w:jc w:val="center"/>
              <w:rPr>
                <w:rFonts w:cs="Arial"/>
                <w:color w:val="000000"/>
                <w:szCs w:val="20"/>
              </w:rPr>
            </w:pPr>
            <w:r w:rsidRPr="00777F66">
              <w:rPr>
                <w:rFonts w:cs="Arial"/>
                <w:color w:val="000000"/>
                <w:szCs w:val="20"/>
              </w:rPr>
              <w:t>LC03, LC07, LC11, LC15</w:t>
            </w:r>
          </w:p>
        </w:tc>
        <w:tc>
          <w:tcPr>
            <w:tcW w:w="2310" w:type="dxa"/>
            <w:tcBorders>
              <w:top w:val="single" w:sz="4" w:space="0" w:color="auto"/>
              <w:left w:val="single" w:sz="4" w:space="0" w:color="auto"/>
              <w:bottom w:val="single" w:sz="4" w:space="0" w:color="auto"/>
              <w:right w:val="single" w:sz="4" w:space="0" w:color="auto"/>
            </w:tcBorders>
            <w:vAlign w:val="center"/>
          </w:tcPr>
          <w:p w:rsidR="00047D18" w:rsidRPr="00777F66" w:rsidRDefault="00047D18" w:rsidP="00FD0D3F">
            <w:pPr>
              <w:jc w:val="center"/>
              <w:rPr>
                <w:rFonts w:cs="Arial"/>
                <w:color w:val="000000"/>
                <w:szCs w:val="20"/>
              </w:rPr>
            </w:pPr>
            <w:r w:rsidRPr="00777F66">
              <w:rPr>
                <w:rFonts w:cs="Arial"/>
                <w:color w:val="000000"/>
                <w:szCs w:val="20"/>
              </w:rPr>
              <w:t>ROB</w:t>
            </w:r>
          </w:p>
        </w:tc>
        <w:tc>
          <w:tcPr>
            <w:tcW w:w="27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7D18" w:rsidRPr="00777F66" w:rsidRDefault="00047D18">
            <w:pPr>
              <w:jc w:val="center"/>
              <w:rPr>
                <w:rFonts w:cs="Arial"/>
                <w:color w:val="000000"/>
                <w:szCs w:val="20"/>
              </w:rPr>
            </w:pPr>
            <w:r w:rsidRPr="00777F66">
              <w:rPr>
                <w:rFonts w:cs="Arial"/>
                <w:color w:val="000000"/>
                <w:szCs w:val="20"/>
              </w:rPr>
              <w:t>Linear foot of LED Lightbar,no occupancy sensor control replacing multiple lamp profile</w:t>
            </w:r>
          </w:p>
        </w:tc>
        <w:tc>
          <w:tcPr>
            <w:tcW w:w="1347" w:type="dxa"/>
            <w:tcBorders>
              <w:top w:val="nil"/>
              <w:left w:val="single" w:sz="4" w:space="0" w:color="auto"/>
              <w:bottom w:val="single" w:sz="8" w:space="0" w:color="auto"/>
              <w:right w:val="single" w:sz="8" w:space="0" w:color="auto"/>
            </w:tcBorders>
            <w:shd w:val="clear" w:color="auto" w:fill="auto"/>
            <w:vAlign w:val="center"/>
            <w:hideMark/>
          </w:tcPr>
          <w:p w:rsidR="00047D18" w:rsidRPr="00777F66" w:rsidRDefault="00047D18">
            <w:pPr>
              <w:jc w:val="right"/>
              <w:rPr>
                <w:rFonts w:cs="Arial"/>
                <w:color w:val="000000"/>
                <w:szCs w:val="20"/>
              </w:rPr>
            </w:pPr>
            <w:r w:rsidRPr="00777F66">
              <w:rPr>
                <w:rFonts w:cs="Arial"/>
                <w:color w:val="000000"/>
                <w:szCs w:val="20"/>
              </w:rPr>
              <w:t>$27.50</w:t>
            </w:r>
          </w:p>
        </w:tc>
      </w:tr>
    </w:tbl>
    <w:p w:rsidR="00DD1C47" w:rsidRPr="00777F66" w:rsidRDefault="00DD1C47" w:rsidP="00DD1C47">
      <w:pPr>
        <w:rPr>
          <w:rFonts w:cs="Arial"/>
          <w:i/>
          <w:szCs w:val="20"/>
        </w:rPr>
      </w:pPr>
      <w:r w:rsidRPr="00777F66">
        <w:rPr>
          <w:rFonts w:cs="Arial"/>
          <w:i/>
          <w:szCs w:val="20"/>
        </w:rPr>
        <w:t xml:space="preserve">All costs are noted as $ per </w:t>
      </w:r>
      <w:r w:rsidR="009643BE" w:rsidRPr="00777F66">
        <w:rPr>
          <w:rFonts w:cs="Arial"/>
          <w:i/>
          <w:szCs w:val="20"/>
        </w:rPr>
        <w:t>linear foot</w:t>
      </w:r>
    </w:p>
    <w:p w:rsidR="00DD1C47" w:rsidRPr="00777F66" w:rsidRDefault="00DD1C47" w:rsidP="00DD1C47">
      <w:pPr>
        <w:rPr>
          <w:rFonts w:cs="Arial"/>
          <w:i/>
        </w:rPr>
      </w:pPr>
    </w:p>
    <w:p w:rsidR="00DD1C47" w:rsidRPr="00777F66" w:rsidRDefault="000E78B5" w:rsidP="00F55847">
      <w:pPr>
        <w:rPr>
          <w:rFonts w:cs="Arial"/>
          <w:szCs w:val="20"/>
        </w:rPr>
      </w:pPr>
      <w:r w:rsidRPr="00777F66">
        <w:rPr>
          <w:rFonts w:cs="Arial"/>
          <w:szCs w:val="20"/>
        </w:rPr>
        <w:t xml:space="preserve">Measure case </w:t>
      </w:r>
      <w:r w:rsidR="00641C73" w:rsidRPr="00777F66">
        <w:rPr>
          <w:rFonts w:cs="Arial"/>
          <w:szCs w:val="20"/>
        </w:rPr>
        <w:t>linear foot</w:t>
      </w:r>
      <w:r w:rsidRPr="00777F66">
        <w:rPr>
          <w:rFonts w:cs="Arial"/>
          <w:szCs w:val="20"/>
        </w:rPr>
        <w:t xml:space="preserve"> costs are based on an extensive survey of distributors from 2010, and updated quotes provided by contractors, fixture manufacturers, and sales reps in 2012</w:t>
      </w:r>
      <w:r w:rsidR="00112C86" w:rsidRPr="00777F66">
        <w:rPr>
          <w:rFonts w:cs="Arial"/>
          <w:szCs w:val="20"/>
          <w:vertAlign w:val="superscript"/>
        </w:rPr>
        <w:fldChar w:fldCharType="begin"/>
      </w:r>
      <w:r w:rsidR="00112C86" w:rsidRPr="00777F66">
        <w:rPr>
          <w:rFonts w:cs="Arial"/>
          <w:szCs w:val="20"/>
          <w:vertAlign w:val="superscript"/>
        </w:rPr>
        <w:instrText xml:space="preserve"> NOTEREF _Ref328383251 \h  \* MERGEFORMAT </w:instrText>
      </w:r>
      <w:r w:rsidR="00112C86" w:rsidRPr="00777F66">
        <w:rPr>
          <w:rFonts w:cs="Arial"/>
          <w:szCs w:val="20"/>
          <w:vertAlign w:val="superscript"/>
        </w:rPr>
      </w:r>
      <w:r w:rsidR="00112C86" w:rsidRPr="00777F66">
        <w:rPr>
          <w:rFonts w:cs="Arial"/>
          <w:szCs w:val="20"/>
          <w:vertAlign w:val="superscript"/>
        </w:rPr>
        <w:fldChar w:fldCharType="separate"/>
      </w:r>
      <w:r w:rsidR="00B573CA" w:rsidRPr="00777F66">
        <w:rPr>
          <w:rFonts w:cs="Arial"/>
          <w:szCs w:val="20"/>
          <w:vertAlign w:val="superscript"/>
        </w:rPr>
        <w:t>10</w:t>
      </w:r>
      <w:r w:rsidR="00112C86" w:rsidRPr="00777F66">
        <w:rPr>
          <w:rFonts w:cs="Arial"/>
          <w:szCs w:val="20"/>
          <w:vertAlign w:val="superscript"/>
        </w:rPr>
        <w:fldChar w:fldCharType="end"/>
      </w:r>
      <w:r w:rsidRPr="00777F66">
        <w:rPr>
          <w:rFonts w:cs="Arial"/>
          <w:szCs w:val="20"/>
        </w:rPr>
        <w:t>.</w:t>
      </w:r>
      <w:r w:rsidR="00641C73" w:rsidRPr="00777F66">
        <w:rPr>
          <w:rFonts w:cs="Arial"/>
          <w:szCs w:val="20"/>
        </w:rPr>
        <w:t xml:space="preserve"> </w:t>
      </w:r>
    </w:p>
    <w:p w:rsidR="0030550A" w:rsidRPr="00777F66" w:rsidRDefault="0030550A" w:rsidP="002D12AC">
      <w:pPr>
        <w:pStyle w:val="Heading2"/>
        <w:keepLines/>
      </w:pPr>
      <w:bookmarkStart w:id="52" w:name="_Toc437853363"/>
      <w:r w:rsidRPr="00777F66">
        <w:t>4.3 Incremental &amp; Full Measure Costs</w:t>
      </w:r>
      <w:bookmarkEnd w:id="52"/>
    </w:p>
    <w:p w:rsidR="003F57BD" w:rsidRPr="00777F66" w:rsidRDefault="003F57BD" w:rsidP="003F57BD">
      <w:pPr>
        <w:pStyle w:val="Heading1"/>
        <w:rPr>
          <w:i/>
        </w:rPr>
      </w:pPr>
      <w:bookmarkStart w:id="53" w:name="_Toc437853364"/>
      <w:r w:rsidRPr="00777F66">
        <w:rPr>
          <w:i/>
        </w:rPr>
        <w:t xml:space="preserve">4.3.1 </w:t>
      </w:r>
      <w:r w:rsidR="005C0DEB" w:rsidRPr="00777F66">
        <w:rPr>
          <w:i/>
        </w:rPr>
        <w:t xml:space="preserve">Full </w:t>
      </w:r>
      <w:r w:rsidRPr="00777F66">
        <w:rPr>
          <w:i/>
        </w:rPr>
        <w:t>Measure Cost</w:t>
      </w:r>
      <w:bookmarkEnd w:id="53"/>
    </w:p>
    <w:p w:rsidR="003F57BD" w:rsidRPr="00777F66" w:rsidRDefault="005C0DEB" w:rsidP="00A8629D">
      <w:pPr>
        <w:rPr>
          <w:rFonts w:cs="Arial"/>
          <w:szCs w:val="20"/>
        </w:rPr>
      </w:pPr>
      <w:r w:rsidRPr="00777F66">
        <w:rPr>
          <w:rFonts w:cs="Arial"/>
          <w:szCs w:val="20"/>
        </w:rPr>
        <w:t>This is used for the direct install measures.</w:t>
      </w:r>
      <w:r w:rsidR="00A4264E" w:rsidRPr="00777F66">
        <w:rPr>
          <w:rFonts w:cs="Arial"/>
          <w:szCs w:val="20"/>
        </w:rPr>
        <w:t xml:space="preserve"> This is calculated as the sum of the material and labor cost for the measure case</w:t>
      </w:r>
      <w:r w:rsidR="007024A1" w:rsidRPr="00777F66">
        <w:rPr>
          <w:rFonts w:cs="Arial"/>
          <w:szCs w:val="20"/>
        </w:rPr>
        <w:t>.</w:t>
      </w:r>
      <w:r w:rsidRPr="00777F66">
        <w:rPr>
          <w:rFonts w:cs="Arial"/>
          <w:szCs w:val="20"/>
        </w:rPr>
        <w:t xml:space="preserve"> </w:t>
      </w:r>
      <w:r w:rsidR="00047D18" w:rsidRPr="00777F66">
        <w:rPr>
          <w:rFonts w:cs="Arial"/>
          <w:szCs w:val="20"/>
        </w:rPr>
        <w:t xml:space="preserve">The labor </w:t>
      </w:r>
      <w:r w:rsidR="00F06E4C" w:rsidRPr="00777F66">
        <w:rPr>
          <w:rFonts w:cs="Arial"/>
          <w:szCs w:val="20"/>
        </w:rPr>
        <w:t xml:space="preserve">hour </w:t>
      </w:r>
      <w:r w:rsidR="00047D18" w:rsidRPr="00777F66">
        <w:rPr>
          <w:rFonts w:cs="Arial"/>
          <w:szCs w:val="20"/>
        </w:rPr>
        <w:t>is taken from DEER 2008, and assumed to be the same install cost for LED Lightbars as for Linear Fluorescents</w:t>
      </w:r>
      <w:r w:rsidR="00A8629D" w:rsidRPr="00777F66">
        <w:rPr>
          <w:rFonts w:cs="Arial"/>
          <w:szCs w:val="20"/>
        </w:rPr>
        <w:t>.</w:t>
      </w:r>
      <w:bookmarkStart w:id="54" w:name="_Ref328382223"/>
      <w:r w:rsidR="00047D18" w:rsidRPr="00777F66">
        <w:rPr>
          <w:rStyle w:val="EndnoteReference"/>
          <w:rFonts w:cs="Arial"/>
          <w:szCs w:val="20"/>
        </w:rPr>
        <w:endnoteReference w:id="11"/>
      </w:r>
      <w:bookmarkEnd w:id="54"/>
      <w:r w:rsidR="00F06E4C" w:rsidRPr="00777F66">
        <w:rPr>
          <w:rFonts w:cs="Arial"/>
          <w:szCs w:val="20"/>
        </w:rPr>
        <w:t xml:space="preserve"> The new 2016 labor cost is three minute</w:t>
      </w:r>
      <w:r w:rsidR="00F06E4C" w:rsidRPr="00777F66">
        <w:rPr>
          <w:rStyle w:val="EndnoteReference"/>
          <w:rFonts w:cs="Arial"/>
          <w:szCs w:val="20"/>
        </w:rPr>
        <w:endnoteReference w:id="12"/>
      </w:r>
      <w:r w:rsidR="00777F66">
        <w:rPr>
          <w:rFonts w:cs="Arial"/>
          <w:szCs w:val="20"/>
        </w:rPr>
        <w:t xml:space="preserve"> </w:t>
      </w:r>
      <w:r w:rsidR="00F06E4C" w:rsidRPr="00777F66">
        <w:rPr>
          <w:rFonts w:cs="Arial"/>
          <w:szCs w:val="20"/>
        </w:rPr>
        <w:t>times $72.26 per hour equals to $3.62</w:t>
      </w:r>
    </w:p>
    <w:p w:rsidR="009B0848" w:rsidRPr="00777F66" w:rsidRDefault="009B0848" w:rsidP="00A8629D">
      <w:pPr>
        <w:rPr>
          <w:rFonts w:cs="Arial"/>
          <w:szCs w:val="20"/>
        </w:rPr>
      </w:pPr>
    </w:p>
    <w:p w:rsidR="000B2720" w:rsidRPr="00777F66" w:rsidRDefault="000B2720" w:rsidP="00A8629D">
      <w:pPr>
        <w:rPr>
          <w:rFonts w:cs="Arial"/>
          <w:szCs w:val="20"/>
        </w:rPr>
      </w:pPr>
    </w:p>
    <w:tbl>
      <w:tblPr>
        <w:tblW w:w="8520" w:type="dxa"/>
        <w:tblInd w:w="98" w:type="dxa"/>
        <w:tblLook w:val="04A0" w:firstRow="1" w:lastRow="0" w:firstColumn="1" w:lastColumn="0" w:noHBand="0" w:noVBand="1"/>
      </w:tblPr>
      <w:tblGrid>
        <w:gridCol w:w="2656"/>
        <w:gridCol w:w="1350"/>
        <w:gridCol w:w="959"/>
        <w:gridCol w:w="1738"/>
        <w:gridCol w:w="1817"/>
      </w:tblGrid>
      <w:tr w:rsidR="000B2720" w:rsidRPr="00777F66" w:rsidTr="000B2720">
        <w:trPr>
          <w:trHeight w:val="780"/>
        </w:trPr>
        <w:tc>
          <w:tcPr>
            <w:tcW w:w="26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B2720" w:rsidRPr="00777F66" w:rsidRDefault="000B2720">
            <w:pPr>
              <w:rPr>
                <w:rFonts w:cs="Arial"/>
                <w:b/>
                <w:bCs/>
                <w:i/>
                <w:iCs/>
                <w:color w:val="000000"/>
                <w:szCs w:val="20"/>
              </w:rPr>
            </w:pPr>
            <w:r w:rsidRPr="00777F66">
              <w:rPr>
                <w:rFonts w:cs="Arial"/>
                <w:b/>
                <w:bCs/>
                <w:i/>
                <w:iCs/>
                <w:color w:val="000000"/>
                <w:szCs w:val="20"/>
              </w:rPr>
              <w:t>Measure Code</w:t>
            </w:r>
          </w:p>
        </w:tc>
        <w:tc>
          <w:tcPr>
            <w:tcW w:w="1340" w:type="dxa"/>
            <w:tcBorders>
              <w:top w:val="single" w:sz="8" w:space="0" w:color="auto"/>
              <w:left w:val="nil"/>
              <w:bottom w:val="single" w:sz="8" w:space="0" w:color="auto"/>
              <w:right w:val="single" w:sz="8" w:space="0" w:color="auto"/>
            </w:tcBorders>
            <w:shd w:val="clear" w:color="auto" w:fill="auto"/>
            <w:vAlign w:val="center"/>
            <w:hideMark/>
          </w:tcPr>
          <w:p w:rsidR="000B2720" w:rsidRPr="00777F66" w:rsidRDefault="000B2720">
            <w:pPr>
              <w:rPr>
                <w:rFonts w:cs="Arial"/>
                <w:b/>
                <w:bCs/>
                <w:color w:val="000000"/>
                <w:szCs w:val="20"/>
              </w:rPr>
            </w:pPr>
            <w:r w:rsidRPr="00777F66">
              <w:rPr>
                <w:rFonts w:cs="Arial"/>
                <w:b/>
                <w:bCs/>
                <w:color w:val="000000"/>
                <w:szCs w:val="20"/>
              </w:rPr>
              <w:t>Transaction Type</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0B2720" w:rsidRPr="00777F66" w:rsidRDefault="000B2720">
            <w:pPr>
              <w:rPr>
                <w:rFonts w:cs="Arial"/>
                <w:b/>
                <w:bCs/>
                <w:color w:val="000000"/>
                <w:szCs w:val="20"/>
              </w:rPr>
            </w:pPr>
            <w:r w:rsidRPr="00777F66">
              <w:rPr>
                <w:rFonts w:cs="Arial"/>
                <w:b/>
                <w:bCs/>
                <w:color w:val="000000"/>
                <w:szCs w:val="20"/>
              </w:rPr>
              <w:t>Labor Cost</w:t>
            </w:r>
          </w:p>
        </w:tc>
        <w:tc>
          <w:tcPr>
            <w:tcW w:w="1740" w:type="dxa"/>
            <w:tcBorders>
              <w:top w:val="single" w:sz="8" w:space="0" w:color="auto"/>
              <w:left w:val="nil"/>
              <w:bottom w:val="single" w:sz="8" w:space="0" w:color="auto"/>
              <w:right w:val="single" w:sz="8" w:space="0" w:color="auto"/>
            </w:tcBorders>
            <w:shd w:val="clear" w:color="auto" w:fill="auto"/>
            <w:vAlign w:val="center"/>
            <w:hideMark/>
          </w:tcPr>
          <w:p w:rsidR="000B2720" w:rsidRPr="00777F66" w:rsidRDefault="000B2720">
            <w:pPr>
              <w:rPr>
                <w:rFonts w:cs="Arial"/>
                <w:b/>
                <w:bCs/>
                <w:color w:val="000000"/>
                <w:szCs w:val="20"/>
              </w:rPr>
            </w:pPr>
            <w:r w:rsidRPr="00777F66">
              <w:rPr>
                <w:rFonts w:cs="Arial"/>
                <w:b/>
                <w:bCs/>
                <w:color w:val="000000"/>
                <w:szCs w:val="20"/>
              </w:rPr>
              <w:t>Measure Equipment Total Cost</w:t>
            </w:r>
          </w:p>
        </w:tc>
        <w:tc>
          <w:tcPr>
            <w:tcW w:w="1820" w:type="dxa"/>
            <w:tcBorders>
              <w:top w:val="single" w:sz="8" w:space="0" w:color="auto"/>
              <w:left w:val="nil"/>
              <w:bottom w:val="single" w:sz="8" w:space="0" w:color="auto"/>
              <w:right w:val="single" w:sz="8" w:space="0" w:color="auto"/>
            </w:tcBorders>
            <w:shd w:val="clear" w:color="auto" w:fill="auto"/>
            <w:vAlign w:val="center"/>
            <w:hideMark/>
          </w:tcPr>
          <w:p w:rsidR="000B2720" w:rsidRPr="00777F66" w:rsidRDefault="000B2720">
            <w:pPr>
              <w:rPr>
                <w:rFonts w:cs="Arial"/>
                <w:b/>
                <w:bCs/>
                <w:color w:val="000000"/>
                <w:szCs w:val="20"/>
              </w:rPr>
            </w:pPr>
            <w:r w:rsidRPr="00777F66">
              <w:rPr>
                <w:rFonts w:cs="Arial"/>
                <w:b/>
                <w:bCs/>
                <w:color w:val="000000"/>
                <w:szCs w:val="20"/>
              </w:rPr>
              <w:t>Full Measure Cost</w:t>
            </w:r>
          </w:p>
        </w:tc>
      </w:tr>
      <w:tr w:rsidR="000B2720" w:rsidRPr="00777F66" w:rsidTr="00047D18">
        <w:trPr>
          <w:trHeight w:val="502"/>
        </w:trPr>
        <w:tc>
          <w:tcPr>
            <w:tcW w:w="2660" w:type="dxa"/>
            <w:tcBorders>
              <w:top w:val="nil"/>
              <w:left w:val="single" w:sz="8" w:space="0" w:color="auto"/>
              <w:bottom w:val="single" w:sz="8" w:space="0" w:color="auto"/>
              <w:right w:val="single" w:sz="8" w:space="0" w:color="auto"/>
            </w:tcBorders>
            <w:shd w:val="clear" w:color="auto" w:fill="auto"/>
            <w:vAlign w:val="bottom"/>
            <w:hideMark/>
          </w:tcPr>
          <w:p w:rsidR="000B2720" w:rsidRPr="00777F66" w:rsidRDefault="000B2720" w:rsidP="00F41ACC">
            <w:pPr>
              <w:rPr>
                <w:rFonts w:cs="Arial"/>
                <w:color w:val="000000"/>
                <w:szCs w:val="20"/>
              </w:rPr>
            </w:pPr>
            <w:r w:rsidRPr="00777F66">
              <w:rPr>
                <w:rFonts w:cs="Arial"/>
                <w:color w:val="000000"/>
                <w:szCs w:val="20"/>
              </w:rPr>
              <w:t>L</w:t>
            </w:r>
            <w:r w:rsidR="00F41ACC" w:rsidRPr="00777F66">
              <w:rPr>
                <w:rFonts w:cs="Arial"/>
                <w:color w:val="000000"/>
                <w:szCs w:val="20"/>
              </w:rPr>
              <w:t>B02</w:t>
            </w:r>
            <w:r w:rsidRPr="00777F66">
              <w:rPr>
                <w:rFonts w:cs="Arial"/>
                <w:color w:val="000000"/>
                <w:szCs w:val="20"/>
              </w:rPr>
              <w:t>, L</w:t>
            </w:r>
            <w:r w:rsidR="00F41ACC" w:rsidRPr="00777F66">
              <w:rPr>
                <w:rFonts w:cs="Arial"/>
                <w:color w:val="000000"/>
                <w:szCs w:val="20"/>
              </w:rPr>
              <w:t>B04</w:t>
            </w:r>
            <w:r w:rsidRPr="00777F66">
              <w:rPr>
                <w:rFonts w:cs="Arial"/>
                <w:color w:val="000000"/>
                <w:szCs w:val="20"/>
              </w:rPr>
              <w:t>, L</w:t>
            </w:r>
            <w:r w:rsidR="00F41ACC" w:rsidRPr="00777F66">
              <w:rPr>
                <w:rFonts w:cs="Arial"/>
                <w:color w:val="000000"/>
                <w:szCs w:val="20"/>
              </w:rPr>
              <w:t>B06</w:t>
            </w:r>
            <w:r w:rsidRPr="00777F66">
              <w:rPr>
                <w:rFonts w:cs="Arial"/>
                <w:color w:val="000000"/>
                <w:szCs w:val="20"/>
              </w:rPr>
              <w:t xml:space="preserve">, </w:t>
            </w:r>
            <w:r w:rsidR="00F41ACC" w:rsidRPr="00777F66">
              <w:rPr>
                <w:rFonts w:cs="Arial"/>
                <w:color w:val="000000"/>
                <w:szCs w:val="20"/>
              </w:rPr>
              <w:t>B08,</w:t>
            </w:r>
            <w:r w:rsidRPr="00777F66">
              <w:rPr>
                <w:rFonts w:cs="Arial"/>
                <w:color w:val="000000"/>
                <w:szCs w:val="20"/>
              </w:rPr>
              <w:t xml:space="preserve"> </w:t>
            </w:r>
            <w:r w:rsidR="00F41ACC" w:rsidRPr="00777F66">
              <w:rPr>
                <w:rFonts w:cs="Arial"/>
                <w:color w:val="000000"/>
                <w:szCs w:val="20"/>
              </w:rPr>
              <w:t>LB10</w:t>
            </w:r>
            <w:r w:rsidRPr="00777F66">
              <w:rPr>
                <w:rFonts w:cs="Arial"/>
                <w:color w:val="000000"/>
                <w:szCs w:val="20"/>
              </w:rPr>
              <w:t>, L</w:t>
            </w:r>
            <w:r w:rsidR="00F41ACC" w:rsidRPr="00777F66">
              <w:rPr>
                <w:rFonts w:cs="Arial"/>
                <w:color w:val="000000"/>
                <w:szCs w:val="20"/>
              </w:rPr>
              <w:t>B12</w:t>
            </w:r>
          </w:p>
        </w:tc>
        <w:tc>
          <w:tcPr>
            <w:tcW w:w="1340" w:type="dxa"/>
            <w:tcBorders>
              <w:top w:val="nil"/>
              <w:left w:val="nil"/>
              <w:bottom w:val="single" w:sz="8" w:space="0" w:color="auto"/>
              <w:right w:val="single" w:sz="8" w:space="0" w:color="auto"/>
            </w:tcBorders>
            <w:shd w:val="clear" w:color="auto" w:fill="auto"/>
            <w:vAlign w:val="center"/>
            <w:hideMark/>
          </w:tcPr>
          <w:p w:rsidR="000B2720" w:rsidRPr="00777F66" w:rsidRDefault="00047D18" w:rsidP="00047D18">
            <w:pPr>
              <w:jc w:val="center"/>
              <w:rPr>
                <w:rFonts w:cs="Arial"/>
                <w:color w:val="000000"/>
                <w:szCs w:val="20"/>
              </w:rPr>
            </w:pPr>
            <w:r w:rsidRPr="00777F66">
              <w:rPr>
                <w:rFonts w:cs="Arial"/>
                <w:color w:val="000000"/>
                <w:szCs w:val="20"/>
              </w:rPr>
              <w:t>DI</w:t>
            </w:r>
          </w:p>
        </w:tc>
        <w:tc>
          <w:tcPr>
            <w:tcW w:w="960" w:type="dxa"/>
            <w:tcBorders>
              <w:top w:val="nil"/>
              <w:left w:val="nil"/>
              <w:bottom w:val="single" w:sz="8" w:space="0" w:color="auto"/>
              <w:right w:val="single" w:sz="8" w:space="0" w:color="auto"/>
            </w:tcBorders>
            <w:shd w:val="clear" w:color="auto" w:fill="auto"/>
            <w:vAlign w:val="center"/>
            <w:hideMark/>
          </w:tcPr>
          <w:p w:rsidR="000B2720" w:rsidRPr="00777F66" w:rsidRDefault="000B2720" w:rsidP="00760FDC">
            <w:pPr>
              <w:jc w:val="center"/>
              <w:rPr>
                <w:rFonts w:cs="Arial"/>
                <w:color w:val="000000"/>
                <w:szCs w:val="20"/>
              </w:rPr>
            </w:pPr>
            <w:r w:rsidRPr="00777F66">
              <w:rPr>
                <w:rFonts w:cs="Arial"/>
                <w:color w:val="000000"/>
                <w:szCs w:val="20"/>
              </w:rPr>
              <w:t>$</w:t>
            </w:r>
            <w:r w:rsidR="00760FDC" w:rsidRPr="00777F66">
              <w:rPr>
                <w:rFonts w:cs="Arial"/>
                <w:color w:val="000000"/>
                <w:szCs w:val="20"/>
              </w:rPr>
              <w:t>3</w:t>
            </w:r>
            <w:r w:rsidRPr="00777F66">
              <w:rPr>
                <w:rFonts w:cs="Arial"/>
                <w:color w:val="000000"/>
                <w:szCs w:val="20"/>
              </w:rPr>
              <w:t>.</w:t>
            </w:r>
            <w:r w:rsidR="00760FDC" w:rsidRPr="00777F66">
              <w:rPr>
                <w:rFonts w:cs="Arial"/>
                <w:color w:val="000000"/>
                <w:szCs w:val="20"/>
              </w:rPr>
              <w:t>6</w:t>
            </w:r>
            <w:r w:rsidR="00047D18" w:rsidRPr="00777F66">
              <w:rPr>
                <w:rFonts w:cs="Arial"/>
                <w:color w:val="000000"/>
                <w:szCs w:val="20"/>
              </w:rPr>
              <w:t>2</w:t>
            </w:r>
          </w:p>
        </w:tc>
        <w:tc>
          <w:tcPr>
            <w:tcW w:w="1740" w:type="dxa"/>
            <w:tcBorders>
              <w:top w:val="nil"/>
              <w:left w:val="nil"/>
              <w:bottom w:val="single" w:sz="8" w:space="0" w:color="auto"/>
              <w:right w:val="single" w:sz="8" w:space="0" w:color="auto"/>
            </w:tcBorders>
            <w:shd w:val="clear" w:color="auto" w:fill="auto"/>
            <w:vAlign w:val="center"/>
            <w:hideMark/>
          </w:tcPr>
          <w:p w:rsidR="000B2720" w:rsidRPr="00777F66" w:rsidRDefault="000B2720" w:rsidP="00047D18">
            <w:pPr>
              <w:jc w:val="center"/>
              <w:rPr>
                <w:rFonts w:cs="Arial"/>
                <w:color w:val="000000"/>
                <w:szCs w:val="20"/>
              </w:rPr>
            </w:pPr>
            <w:r w:rsidRPr="00777F66">
              <w:rPr>
                <w:rFonts w:cs="Arial"/>
                <w:color w:val="000000"/>
                <w:szCs w:val="20"/>
              </w:rPr>
              <w:t>$28.50</w:t>
            </w:r>
          </w:p>
        </w:tc>
        <w:tc>
          <w:tcPr>
            <w:tcW w:w="1820" w:type="dxa"/>
            <w:tcBorders>
              <w:top w:val="nil"/>
              <w:left w:val="nil"/>
              <w:bottom w:val="single" w:sz="8" w:space="0" w:color="auto"/>
              <w:right w:val="single" w:sz="8" w:space="0" w:color="auto"/>
            </w:tcBorders>
            <w:shd w:val="clear" w:color="auto" w:fill="auto"/>
            <w:vAlign w:val="center"/>
            <w:hideMark/>
          </w:tcPr>
          <w:p w:rsidR="000B2720" w:rsidRPr="00777F66" w:rsidRDefault="000B2720" w:rsidP="00047D18">
            <w:pPr>
              <w:jc w:val="center"/>
              <w:rPr>
                <w:rFonts w:cs="Arial"/>
                <w:color w:val="000000"/>
                <w:szCs w:val="20"/>
              </w:rPr>
            </w:pPr>
            <w:r w:rsidRPr="00777F66">
              <w:rPr>
                <w:rFonts w:cs="Arial"/>
                <w:color w:val="000000"/>
                <w:szCs w:val="20"/>
              </w:rPr>
              <w:t>$3</w:t>
            </w:r>
            <w:r w:rsidR="00047D18" w:rsidRPr="00777F66">
              <w:rPr>
                <w:rFonts w:cs="Arial"/>
                <w:color w:val="000000"/>
                <w:szCs w:val="20"/>
              </w:rPr>
              <w:t>0</w:t>
            </w:r>
            <w:r w:rsidRPr="00777F66">
              <w:rPr>
                <w:rFonts w:cs="Arial"/>
                <w:color w:val="000000"/>
                <w:szCs w:val="20"/>
              </w:rPr>
              <w:t>.</w:t>
            </w:r>
            <w:r w:rsidR="00047D18" w:rsidRPr="00777F66">
              <w:rPr>
                <w:rFonts w:cs="Arial"/>
                <w:color w:val="000000"/>
                <w:szCs w:val="20"/>
              </w:rPr>
              <w:t>92</w:t>
            </w:r>
          </w:p>
        </w:tc>
      </w:tr>
      <w:tr w:rsidR="000B2720" w:rsidRPr="00777F66" w:rsidTr="00047D18">
        <w:trPr>
          <w:trHeight w:val="412"/>
        </w:trPr>
        <w:tc>
          <w:tcPr>
            <w:tcW w:w="2660" w:type="dxa"/>
            <w:tcBorders>
              <w:top w:val="nil"/>
              <w:left w:val="single" w:sz="8" w:space="0" w:color="auto"/>
              <w:bottom w:val="single" w:sz="8" w:space="0" w:color="auto"/>
              <w:right w:val="single" w:sz="8" w:space="0" w:color="auto"/>
            </w:tcBorders>
            <w:shd w:val="clear" w:color="auto" w:fill="auto"/>
            <w:vAlign w:val="bottom"/>
            <w:hideMark/>
          </w:tcPr>
          <w:p w:rsidR="000B2720" w:rsidRPr="00777F66" w:rsidRDefault="000B2720" w:rsidP="00BC2CC5">
            <w:pPr>
              <w:rPr>
                <w:rFonts w:cs="Arial"/>
                <w:color w:val="000000"/>
                <w:szCs w:val="20"/>
              </w:rPr>
            </w:pPr>
            <w:r w:rsidRPr="00777F66">
              <w:rPr>
                <w:rFonts w:cs="Arial"/>
                <w:color w:val="000000"/>
                <w:szCs w:val="20"/>
              </w:rPr>
              <w:t>L</w:t>
            </w:r>
            <w:r w:rsidR="00BC2CC5" w:rsidRPr="00777F66">
              <w:rPr>
                <w:rFonts w:cs="Arial"/>
                <w:color w:val="000000"/>
                <w:szCs w:val="20"/>
              </w:rPr>
              <w:t>B03</w:t>
            </w:r>
            <w:r w:rsidRPr="00777F66">
              <w:rPr>
                <w:rFonts w:cs="Arial"/>
                <w:color w:val="000000"/>
                <w:szCs w:val="20"/>
              </w:rPr>
              <w:t>, L</w:t>
            </w:r>
            <w:r w:rsidR="00BC2CC5" w:rsidRPr="00777F66">
              <w:rPr>
                <w:rFonts w:cs="Arial"/>
                <w:color w:val="000000"/>
                <w:szCs w:val="20"/>
              </w:rPr>
              <w:t>B05</w:t>
            </w:r>
            <w:r w:rsidRPr="00777F66">
              <w:rPr>
                <w:rFonts w:cs="Arial"/>
                <w:color w:val="000000"/>
                <w:szCs w:val="20"/>
              </w:rPr>
              <w:t>, L</w:t>
            </w:r>
            <w:r w:rsidR="00BC2CC5" w:rsidRPr="00777F66">
              <w:rPr>
                <w:rFonts w:cs="Arial"/>
                <w:color w:val="000000"/>
                <w:szCs w:val="20"/>
              </w:rPr>
              <w:t>B07</w:t>
            </w:r>
            <w:r w:rsidRPr="00777F66">
              <w:rPr>
                <w:rFonts w:cs="Arial"/>
                <w:color w:val="000000"/>
                <w:szCs w:val="20"/>
              </w:rPr>
              <w:t>, L</w:t>
            </w:r>
            <w:r w:rsidR="00BC2CC5" w:rsidRPr="00777F66">
              <w:rPr>
                <w:rFonts w:cs="Arial"/>
                <w:color w:val="000000"/>
                <w:szCs w:val="20"/>
              </w:rPr>
              <w:t>B09</w:t>
            </w:r>
            <w:r w:rsidRPr="00777F66">
              <w:rPr>
                <w:rFonts w:cs="Arial"/>
                <w:color w:val="000000"/>
                <w:szCs w:val="20"/>
              </w:rPr>
              <w:t>, L</w:t>
            </w:r>
            <w:r w:rsidR="00BC2CC5" w:rsidRPr="00777F66">
              <w:rPr>
                <w:rFonts w:cs="Arial"/>
                <w:color w:val="000000"/>
                <w:szCs w:val="20"/>
              </w:rPr>
              <w:t>B11</w:t>
            </w:r>
            <w:r w:rsidRPr="00777F66">
              <w:rPr>
                <w:rFonts w:cs="Arial"/>
                <w:color w:val="000000"/>
                <w:szCs w:val="20"/>
              </w:rPr>
              <w:t>, L</w:t>
            </w:r>
            <w:r w:rsidR="00BC2CC5" w:rsidRPr="00777F66">
              <w:rPr>
                <w:rFonts w:cs="Arial"/>
                <w:color w:val="000000"/>
                <w:szCs w:val="20"/>
              </w:rPr>
              <w:t>B13</w:t>
            </w:r>
          </w:p>
        </w:tc>
        <w:tc>
          <w:tcPr>
            <w:tcW w:w="1340" w:type="dxa"/>
            <w:tcBorders>
              <w:top w:val="nil"/>
              <w:left w:val="nil"/>
              <w:bottom w:val="single" w:sz="8" w:space="0" w:color="auto"/>
              <w:right w:val="single" w:sz="8" w:space="0" w:color="auto"/>
            </w:tcBorders>
            <w:shd w:val="clear" w:color="auto" w:fill="auto"/>
            <w:vAlign w:val="center"/>
            <w:hideMark/>
          </w:tcPr>
          <w:p w:rsidR="000B2720" w:rsidRPr="00777F66" w:rsidRDefault="00047D18" w:rsidP="00047D18">
            <w:pPr>
              <w:jc w:val="center"/>
              <w:rPr>
                <w:rFonts w:cs="Arial"/>
                <w:color w:val="000000"/>
                <w:szCs w:val="20"/>
              </w:rPr>
            </w:pPr>
            <w:r w:rsidRPr="00777F66">
              <w:rPr>
                <w:rFonts w:cs="Arial"/>
                <w:color w:val="000000"/>
                <w:szCs w:val="20"/>
              </w:rPr>
              <w:t>DI</w:t>
            </w:r>
          </w:p>
        </w:tc>
        <w:tc>
          <w:tcPr>
            <w:tcW w:w="960" w:type="dxa"/>
            <w:tcBorders>
              <w:top w:val="nil"/>
              <w:left w:val="nil"/>
              <w:bottom w:val="single" w:sz="8" w:space="0" w:color="auto"/>
              <w:right w:val="single" w:sz="8" w:space="0" w:color="auto"/>
            </w:tcBorders>
            <w:shd w:val="clear" w:color="auto" w:fill="auto"/>
            <w:vAlign w:val="center"/>
            <w:hideMark/>
          </w:tcPr>
          <w:p w:rsidR="000B2720" w:rsidRPr="00777F66" w:rsidRDefault="00760FDC" w:rsidP="00047D18">
            <w:pPr>
              <w:jc w:val="center"/>
              <w:rPr>
                <w:rFonts w:cs="Arial"/>
                <w:color w:val="000000"/>
                <w:szCs w:val="20"/>
              </w:rPr>
            </w:pPr>
            <w:r w:rsidRPr="00777F66">
              <w:rPr>
                <w:rFonts w:cs="Arial"/>
                <w:color w:val="000000"/>
                <w:szCs w:val="20"/>
              </w:rPr>
              <w:t>$3.62</w:t>
            </w:r>
          </w:p>
        </w:tc>
        <w:tc>
          <w:tcPr>
            <w:tcW w:w="1740" w:type="dxa"/>
            <w:tcBorders>
              <w:top w:val="nil"/>
              <w:left w:val="nil"/>
              <w:bottom w:val="single" w:sz="8" w:space="0" w:color="auto"/>
              <w:right w:val="single" w:sz="8" w:space="0" w:color="auto"/>
            </w:tcBorders>
            <w:shd w:val="clear" w:color="auto" w:fill="auto"/>
            <w:vAlign w:val="center"/>
            <w:hideMark/>
          </w:tcPr>
          <w:p w:rsidR="000B2720" w:rsidRPr="00777F66" w:rsidRDefault="000B2720" w:rsidP="00047D18">
            <w:pPr>
              <w:jc w:val="center"/>
              <w:rPr>
                <w:rFonts w:cs="Arial"/>
                <w:color w:val="000000"/>
                <w:szCs w:val="20"/>
              </w:rPr>
            </w:pPr>
            <w:r w:rsidRPr="00777F66">
              <w:rPr>
                <w:rFonts w:cs="Arial"/>
                <w:color w:val="000000"/>
                <w:szCs w:val="20"/>
              </w:rPr>
              <w:t>$24.84</w:t>
            </w:r>
          </w:p>
        </w:tc>
        <w:tc>
          <w:tcPr>
            <w:tcW w:w="1820" w:type="dxa"/>
            <w:tcBorders>
              <w:top w:val="nil"/>
              <w:left w:val="nil"/>
              <w:bottom w:val="single" w:sz="8" w:space="0" w:color="auto"/>
              <w:right w:val="single" w:sz="8" w:space="0" w:color="auto"/>
            </w:tcBorders>
            <w:shd w:val="clear" w:color="auto" w:fill="auto"/>
            <w:vAlign w:val="center"/>
            <w:hideMark/>
          </w:tcPr>
          <w:p w:rsidR="000B2720" w:rsidRPr="00777F66" w:rsidRDefault="000B2720" w:rsidP="00047D18">
            <w:pPr>
              <w:jc w:val="center"/>
              <w:rPr>
                <w:rFonts w:cs="Arial"/>
                <w:color w:val="000000"/>
                <w:szCs w:val="20"/>
              </w:rPr>
            </w:pPr>
            <w:r w:rsidRPr="00777F66">
              <w:rPr>
                <w:rFonts w:cs="Arial"/>
                <w:color w:val="000000"/>
                <w:szCs w:val="20"/>
              </w:rPr>
              <w:t>$27.</w:t>
            </w:r>
            <w:r w:rsidR="00047D18" w:rsidRPr="00777F66">
              <w:rPr>
                <w:rFonts w:cs="Arial"/>
                <w:color w:val="000000"/>
                <w:szCs w:val="20"/>
              </w:rPr>
              <w:t>26</w:t>
            </w:r>
          </w:p>
        </w:tc>
      </w:tr>
      <w:tr w:rsidR="000B2720" w:rsidRPr="00777F66" w:rsidTr="00B573CA">
        <w:trPr>
          <w:trHeight w:val="702"/>
        </w:trPr>
        <w:tc>
          <w:tcPr>
            <w:tcW w:w="2660" w:type="dxa"/>
            <w:tcBorders>
              <w:top w:val="nil"/>
              <w:left w:val="single" w:sz="8" w:space="0" w:color="auto"/>
              <w:bottom w:val="single" w:sz="8" w:space="0" w:color="auto"/>
              <w:right w:val="single" w:sz="8" w:space="0" w:color="auto"/>
            </w:tcBorders>
            <w:shd w:val="clear" w:color="auto" w:fill="auto"/>
            <w:vAlign w:val="center"/>
            <w:hideMark/>
          </w:tcPr>
          <w:p w:rsidR="000B2720" w:rsidRPr="00777F66" w:rsidRDefault="0075532A" w:rsidP="00B573CA">
            <w:pPr>
              <w:rPr>
                <w:rFonts w:cs="Arial"/>
                <w:color w:val="000000"/>
                <w:szCs w:val="20"/>
              </w:rPr>
            </w:pPr>
            <w:r w:rsidRPr="00777F66">
              <w:rPr>
                <w:rFonts w:cs="Arial"/>
                <w:color w:val="000000"/>
                <w:szCs w:val="20"/>
              </w:rPr>
              <w:t>LC01, LC05, LC09, LC13</w:t>
            </w:r>
          </w:p>
        </w:tc>
        <w:tc>
          <w:tcPr>
            <w:tcW w:w="1340" w:type="dxa"/>
            <w:tcBorders>
              <w:top w:val="nil"/>
              <w:left w:val="nil"/>
              <w:bottom w:val="single" w:sz="8" w:space="0" w:color="auto"/>
              <w:right w:val="single" w:sz="8" w:space="0" w:color="auto"/>
            </w:tcBorders>
            <w:shd w:val="clear" w:color="auto" w:fill="auto"/>
            <w:vAlign w:val="center"/>
            <w:hideMark/>
          </w:tcPr>
          <w:p w:rsidR="000B2720" w:rsidRPr="00777F66" w:rsidRDefault="00047D18" w:rsidP="00047D18">
            <w:pPr>
              <w:jc w:val="center"/>
              <w:rPr>
                <w:rFonts w:cs="Arial"/>
                <w:color w:val="000000"/>
                <w:szCs w:val="20"/>
              </w:rPr>
            </w:pPr>
            <w:r w:rsidRPr="00777F66">
              <w:rPr>
                <w:rFonts w:cs="Arial"/>
                <w:color w:val="000000"/>
                <w:szCs w:val="20"/>
              </w:rPr>
              <w:t>DI</w:t>
            </w:r>
          </w:p>
        </w:tc>
        <w:tc>
          <w:tcPr>
            <w:tcW w:w="960" w:type="dxa"/>
            <w:tcBorders>
              <w:top w:val="nil"/>
              <w:left w:val="nil"/>
              <w:bottom w:val="single" w:sz="8" w:space="0" w:color="auto"/>
              <w:right w:val="single" w:sz="8" w:space="0" w:color="auto"/>
            </w:tcBorders>
            <w:shd w:val="clear" w:color="auto" w:fill="auto"/>
            <w:vAlign w:val="center"/>
            <w:hideMark/>
          </w:tcPr>
          <w:p w:rsidR="000B2720" w:rsidRPr="00777F66" w:rsidRDefault="00760FDC" w:rsidP="00047D18">
            <w:pPr>
              <w:jc w:val="center"/>
              <w:rPr>
                <w:rFonts w:cs="Arial"/>
                <w:color w:val="000000"/>
                <w:szCs w:val="20"/>
              </w:rPr>
            </w:pPr>
            <w:r w:rsidRPr="00777F66">
              <w:rPr>
                <w:rFonts w:cs="Arial"/>
                <w:color w:val="000000"/>
                <w:szCs w:val="20"/>
              </w:rPr>
              <w:t>$3.62</w:t>
            </w:r>
          </w:p>
        </w:tc>
        <w:tc>
          <w:tcPr>
            <w:tcW w:w="1740" w:type="dxa"/>
            <w:tcBorders>
              <w:top w:val="nil"/>
              <w:left w:val="nil"/>
              <w:bottom w:val="single" w:sz="8" w:space="0" w:color="auto"/>
              <w:right w:val="single" w:sz="8" w:space="0" w:color="auto"/>
            </w:tcBorders>
            <w:shd w:val="clear" w:color="auto" w:fill="auto"/>
            <w:vAlign w:val="center"/>
            <w:hideMark/>
          </w:tcPr>
          <w:p w:rsidR="000B2720" w:rsidRPr="00777F66" w:rsidRDefault="000B2720" w:rsidP="00047D18">
            <w:pPr>
              <w:jc w:val="center"/>
              <w:rPr>
                <w:rFonts w:cs="Arial"/>
                <w:color w:val="000000"/>
                <w:szCs w:val="20"/>
              </w:rPr>
            </w:pPr>
            <w:r w:rsidRPr="00777F66">
              <w:rPr>
                <w:rFonts w:cs="Arial"/>
                <w:color w:val="000000"/>
                <w:szCs w:val="20"/>
              </w:rPr>
              <w:t>$31.16</w:t>
            </w:r>
          </w:p>
        </w:tc>
        <w:tc>
          <w:tcPr>
            <w:tcW w:w="1820" w:type="dxa"/>
            <w:tcBorders>
              <w:top w:val="nil"/>
              <w:left w:val="nil"/>
              <w:bottom w:val="single" w:sz="8" w:space="0" w:color="auto"/>
              <w:right w:val="single" w:sz="8" w:space="0" w:color="auto"/>
            </w:tcBorders>
            <w:shd w:val="clear" w:color="auto" w:fill="auto"/>
            <w:vAlign w:val="center"/>
            <w:hideMark/>
          </w:tcPr>
          <w:p w:rsidR="000B2720" w:rsidRPr="00777F66" w:rsidRDefault="000B2720" w:rsidP="00047D18">
            <w:pPr>
              <w:jc w:val="center"/>
              <w:rPr>
                <w:rFonts w:cs="Arial"/>
                <w:color w:val="000000"/>
                <w:szCs w:val="20"/>
              </w:rPr>
            </w:pPr>
            <w:r w:rsidRPr="00777F66">
              <w:rPr>
                <w:rFonts w:cs="Arial"/>
                <w:color w:val="000000"/>
                <w:szCs w:val="20"/>
              </w:rPr>
              <w:t>$33.</w:t>
            </w:r>
            <w:r w:rsidR="00047D18" w:rsidRPr="00777F66">
              <w:rPr>
                <w:rFonts w:cs="Arial"/>
                <w:color w:val="000000"/>
                <w:szCs w:val="20"/>
              </w:rPr>
              <w:t>58</w:t>
            </w:r>
          </w:p>
        </w:tc>
      </w:tr>
      <w:tr w:rsidR="000B2720" w:rsidRPr="00777F66" w:rsidTr="00B573CA">
        <w:trPr>
          <w:trHeight w:val="702"/>
        </w:trPr>
        <w:tc>
          <w:tcPr>
            <w:tcW w:w="2660" w:type="dxa"/>
            <w:tcBorders>
              <w:top w:val="nil"/>
              <w:left w:val="single" w:sz="8" w:space="0" w:color="auto"/>
              <w:bottom w:val="single" w:sz="8" w:space="0" w:color="auto"/>
              <w:right w:val="single" w:sz="8" w:space="0" w:color="auto"/>
            </w:tcBorders>
            <w:shd w:val="clear" w:color="auto" w:fill="auto"/>
            <w:vAlign w:val="center"/>
            <w:hideMark/>
          </w:tcPr>
          <w:p w:rsidR="000B2720" w:rsidRPr="00777F66" w:rsidRDefault="0075532A" w:rsidP="00B573CA">
            <w:pPr>
              <w:rPr>
                <w:rFonts w:cs="Arial"/>
                <w:color w:val="000000"/>
                <w:szCs w:val="20"/>
              </w:rPr>
            </w:pPr>
            <w:r w:rsidRPr="00777F66">
              <w:rPr>
                <w:rFonts w:cs="Arial"/>
                <w:color w:val="000000"/>
                <w:szCs w:val="20"/>
              </w:rPr>
              <w:t>LC03, LC07, LC11, LC15</w:t>
            </w:r>
          </w:p>
        </w:tc>
        <w:tc>
          <w:tcPr>
            <w:tcW w:w="1340" w:type="dxa"/>
            <w:tcBorders>
              <w:top w:val="nil"/>
              <w:left w:val="nil"/>
              <w:bottom w:val="single" w:sz="8" w:space="0" w:color="auto"/>
              <w:right w:val="single" w:sz="8" w:space="0" w:color="auto"/>
            </w:tcBorders>
            <w:shd w:val="clear" w:color="auto" w:fill="auto"/>
            <w:vAlign w:val="center"/>
            <w:hideMark/>
          </w:tcPr>
          <w:p w:rsidR="000B2720" w:rsidRPr="00777F66" w:rsidRDefault="00047D18" w:rsidP="00047D18">
            <w:pPr>
              <w:jc w:val="center"/>
              <w:rPr>
                <w:rFonts w:cs="Arial"/>
                <w:color w:val="000000"/>
                <w:szCs w:val="20"/>
              </w:rPr>
            </w:pPr>
            <w:r w:rsidRPr="00777F66">
              <w:rPr>
                <w:rFonts w:cs="Arial"/>
                <w:color w:val="000000"/>
                <w:szCs w:val="20"/>
              </w:rPr>
              <w:t>DI</w:t>
            </w:r>
          </w:p>
        </w:tc>
        <w:tc>
          <w:tcPr>
            <w:tcW w:w="960" w:type="dxa"/>
            <w:tcBorders>
              <w:top w:val="nil"/>
              <w:left w:val="nil"/>
              <w:bottom w:val="single" w:sz="8" w:space="0" w:color="auto"/>
              <w:right w:val="single" w:sz="8" w:space="0" w:color="auto"/>
            </w:tcBorders>
            <w:shd w:val="clear" w:color="auto" w:fill="auto"/>
            <w:vAlign w:val="center"/>
            <w:hideMark/>
          </w:tcPr>
          <w:p w:rsidR="000B2720" w:rsidRPr="00777F66" w:rsidRDefault="00760FDC" w:rsidP="00047D18">
            <w:pPr>
              <w:jc w:val="center"/>
              <w:rPr>
                <w:rFonts w:cs="Arial"/>
                <w:color w:val="000000"/>
                <w:szCs w:val="20"/>
              </w:rPr>
            </w:pPr>
            <w:r w:rsidRPr="00777F66">
              <w:rPr>
                <w:rFonts w:cs="Arial"/>
                <w:color w:val="000000"/>
                <w:szCs w:val="20"/>
              </w:rPr>
              <w:t>$3.62</w:t>
            </w:r>
          </w:p>
        </w:tc>
        <w:tc>
          <w:tcPr>
            <w:tcW w:w="1740" w:type="dxa"/>
            <w:tcBorders>
              <w:top w:val="nil"/>
              <w:left w:val="nil"/>
              <w:bottom w:val="single" w:sz="8" w:space="0" w:color="auto"/>
              <w:right w:val="single" w:sz="8" w:space="0" w:color="auto"/>
            </w:tcBorders>
            <w:shd w:val="clear" w:color="auto" w:fill="auto"/>
            <w:vAlign w:val="center"/>
            <w:hideMark/>
          </w:tcPr>
          <w:p w:rsidR="000B2720" w:rsidRPr="00777F66" w:rsidRDefault="000B2720" w:rsidP="00047D18">
            <w:pPr>
              <w:jc w:val="center"/>
              <w:rPr>
                <w:rFonts w:cs="Arial"/>
                <w:color w:val="000000"/>
                <w:szCs w:val="20"/>
              </w:rPr>
            </w:pPr>
            <w:r w:rsidRPr="00777F66">
              <w:rPr>
                <w:rFonts w:cs="Arial"/>
                <w:color w:val="000000"/>
                <w:szCs w:val="20"/>
              </w:rPr>
              <w:t>$27.50</w:t>
            </w:r>
          </w:p>
        </w:tc>
        <w:tc>
          <w:tcPr>
            <w:tcW w:w="1820" w:type="dxa"/>
            <w:tcBorders>
              <w:top w:val="nil"/>
              <w:left w:val="nil"/>
              <w:bottom w:val="single" w:sz="8" w:space="0" w:color="auto"/>
              <w:right w:val="single" w:sz="8" w:space="0" w:color="auto"/>
            </w:tcBorders>
            <w:shd w:val="clear" w:color="auto" w:fill="auto"/>
            <w:vAlign w:val="center"/>
            <w:hideMark/>
          </w:tcPr>
          <w:p w:rsidR="000B2720" w:rsidRPr="00777F66" w:rsidRDefault="00047D18" w:rsidP="00047D18">
            <w:pPr>
              <w:jc w:val="center"/>
              <w:rPr>
                <w:rFonts w:cs="Arial"/>
                <w:color w:val="000000"/>
                <w:szCs w:val="20"/>
              </w:rPr>
            </w:pPr>
            <w:r w:rsidRPr="00777F66">
              <w:rPr>
                <w:rFonts w:cs="Arial"/>
                <w:color w:val="000000"/>
                <w:szCs w:val="20"/>
              </w:rPr>
              <w:t>$29</w:t>
            </w:r>
            <w:r w:rsidR="000B2720" w:rsidRPr="00777F66">
              <w:rPr>
                <w:rFonts w:cs="Arial"/>
                <w:color w:val="000000"/>
                <w:szCs w:val="20"/>
              </w:rPr>
              <w:t>.</w:t>
            </w:r>
            <w:r w:rsidRPr="00777F66">
              <w:rPr>
                <w:rFonts w:cs="Arial"/>
                <w:color w:val="000000"/>
                <w:szCs w:val="20"/>
              </w:rPr>
              <w:t>92</w:t>
            </w:r>
          </w:p>
        </w:tc>
      </w:tr>
    </w:tbl>
    <w:p w:rsidR="00A47BFE" w:rsidRPr="00777F66" w:rsidRDefault="00A47BFE" w:rsidP="00A47BFE">
      <w:pPr>
        <w:pStyle w:val="Heading1"/>
        <w:numPr>
          <w:ilvl w:val="2"/>
          <w:numId w:val="17"/>
        </w:numPr>
        <w:rPr>
          <w:i/>
        </w:rPr>
      </w:pPr>
      <w:bookmarkStart w:id="55" w:name="_Toc437853365"/>
      <w:r w:rsidRPr="00777F66">
        <w:rPr>
          <w:i/>
        </w:rPr>
        <w:t>Incremental Measure Costs</w:t>
      </w:r>
      <w:bookmarkEnd w:id="55"/>
    </w:p>
    <w:p w:rsidR="00ED3B31" w:rsidRPr="00777F66" w:rsidRDefault="00ED3B31" w:rsidP="00ED3B31">
      <w:pPr>
        <w:rPr>
          <w:rFonts w:cs="Arial"/>
          <w:szCs w:val="20"/>
        </w:rPr>
      </w:pPr>
      <w:r w:rsidRPr="00777F66">
        <w:rPr>
          <w:rFonts w:cs="Arial"/>
          <w:szCs w:val="20"/>
        </w:rPr>
        <w:t>Incremental Measure Cost is the premium cost to install an energy efficient measure over a standard efficiency measure or code baseline measure.</w:t>
      </w:r>
      <w:r w:rsidR="00476B67" w:rsidRPr="00777F66">
        <w:rPr>
          <w:rFonts w:cs="Arial"/>
          <w:szCs w:val="20"/>
        </w:rPr>
        <w:t xml:space="preserve"> </w:t>
      </w:r>
      <w:r w:rsidRPr="00777F66">
        <w:rPr>
          <w:rFonts w:cs="Arial"/>
          <w:szCs w:val="20"/>
        </w:rPr>
        <w:t>While IMC has a straight forward definition depending on the install type, the equation does vary.</w:t>
      </w:r>
      <w:r w:rsidR="00476B67" w:rsidRPr="00777F66">
        <w:rPr>
          <w:rFonts w:cs="Arial"/>
          <w:szCs w:val="20"/>
        </w:rPr>
        <w:t xml:space="preserve"> </w:t>
      </w:r>
    </w:p>
    <w:p w:rsidR="00ED3B31" w:rsidRPr="00777F66" w:rsidRDefault="00ED3B31" w:rsidP="00ED3B31">
      <w:pPr>
        <w:rPr>
          <w:rFonts w:cs="Arial"/>
          <w:sz w:val="22"/>
          <w:szCs w:val="22"/>
        </w:rPr>
      </w:pPr>
    </w:p>
    <w:p w:rsidR="00ED3B31" w:rsidRPr="00777F66" w:rsidRDefault="00856D49" w:rsidP="00ED3B31">
      <w:pPr>
        <w:rPr>
          <w:rFonts w:cs="Arial"/>
          <w:szCs w:val="20"/>
        </w:rPr>
      </w:pPr>
      <w:r w:rsidRPr="00777F66">
        <w:rPr>
          <w:rFonts w:cs="Arial"/>
          <w:szCs w:val="20"/>
        </w:rPr>
        <w:t>For Upstream/Midstream</w:t>
      </w:r>
      <w:r w:rsidR="000E78B5" w:rsidRPr="00777F66">
        <w:rPr>
          <w:rFonts w:cs="Arial"/>
          <w:szCs w:val="20"/>
        </w:rPr>
        <w:t xml:space="preserve"> measure</w:t>
      </w:r>
      <w:r w:rsidRPr="00777F66">
        <w:rPr>
          <w:rFonts w:cs="Arial"/>
          <w:szCs w:val="20"/>
        </w:rPr>
        <w:t>s with</w:t>
      </w:r>
      <w:r w:rsidR="004629A7" w:rsidRPr="00777F66">
        <w:rPr>
          <w:rFonts w:cs="Arial"/>
          <w:szCs w:val="20"/>
        </w:rPr>
        <w:t xml:space="preserve"> transaction type</w:t>
      </w:r>
      <w:r w:rsidR="0077091B" w:rsidRPr="00777F66">
        <w:rPr>
          <w:rFonts w:cs="Arial"/>
          <w:szCs w:val="20"/>
        </w:rPr>
        <w:t xml:space="preserve"> </w:t>
      </w:r>
      <w:r w:rsidR="000E78B5" w:rsidRPr="00777F66">
        <w:rPr>
          <w:rFonts w:cs="Arial"/>
          <w:szCs w:val="20"/>
        </w:rPr>
        <w:t xml:space="preserve">ROB, </w:t>
      </w:r>
      <w:r w:rsidR="00ED3B31" w:rsidRPr="00777F66">
        <w:rPr>
          <w:rFonts w:cs="Arial"/>
          <w:szCs w:val="20"/>
        </w:rPr>
        <w:t xml:space="preserve">the </w:t>
      </w:r>
      <w:r w:rsidR="00A8629D" w:rsidRPr="00777F66">
        <w:rPr>
          <w:rFonts w:cs="Arial"/>
          <w:szCs w:val="20"/>
        </w:rPr>
        <w:t>Incremental</w:t>
      </w:r>
      <w:r w:rsidR="00ED3B31" w:rsidRPr="00777F66">
        <w:rPr>
          <w:rFonts w:cs="Arial"/>
          <w:szCs w:val="20"/>
        </w:rPr>
        <w:t xml:space="preserve"> </w:t>
      </w:r>
      <w:r w:rsidR="00A8629D" w:rsidRPr="00777F66">
        <w:rPr>
          <w:rFonts w:cs="Arial"/>
          <w:szCs w:val="20"/>
        </w:rPr>
        <w:t>Measure Cost (I</w:t>
      </w:r>
      <w:r w:rsidR="00ED3B31" w:rsidRPr="00777F66">
        <w:rPr>
          <w:rFonts w:cs="Arial"/>
          <w:szCs w:val="20"/>
        </w:rPr>
        <w:t>MC) is represented by the equation below:</w:t>
      </w:r>
    </w:p>
    <w:p w:rsidR="00ED3B31" w:rsidRPr="00777F66" w:rsidRDefault="00ED3B31" w:rsidP="00ED3B31">
      <w:pPr>
        <w:rPr>
          <w:rFonts w:cs="Arial"/>
          <w:sz w:val="22"/>
          <w:szCs w:val="22"/>
        </w:rPr>
      </w:pPr>
    </w:p>
    <w:p w:rsidR="00ED3B31" w:rsidRPr="00777F66" w:rsidRDefault="00ED3B31" w:rsidP="00ED3B31">
      <w:pPr>
        <w:ind w:firstLine="720"/>
        <w:rPr>
          <w:rFonts w:cs="Arial"/>
          <w:szCs w:val="20"/>
        </w:rPr>
      </w:pPr>
      <w:r w:rsidRPr="00777F66">
        <w:rPr>
          <w:rFonts w:cs="Arial"/>
          <w:szCs w:val="20"/>
        </w:rPr>
        <w:t>IMC = (Measure Equipment Cost + Measure Labor Cost) –</w:t>
      </w:r>
    </w:p>
    <w:p w:rsidR="00ED3B31" w:rsidRPr="00777F66" w:rsidRDefault="00A97045" w:rsidP="00ED3B31">
      <w:pPr>
        <w:ind w:left="720" w:firstLine="720"/>
        <w:rPr>
          <w:rFonts w:cs="Arial"/>
          <w:szCs w:val="20"/>
        </w:rPr>
      </w:pPr>
      <w:r w:rsidRPr="00777F66">
        <w:rPr>
          <w:rFonts w:cs="Arial"/>
          <w:szCs w:val="20"/>
        </w:rPr>
        <w:t xml:space="preserve"> </w:t>
      </w:r>
      <w:r w:rsidR="00ED3B31" w:rsidRPr="00777F66">
        <w:rPr>
          <w:rFonts w:cs="Arial"/>
          <w:szCs w:val="20"/>
        </w:rPr>
        <w:t>(Base Case Equipment Cost + Base Case Labor Cost)</w:t>
      </w:r>
    </w:p>
    <w:p w:rsidR="00ED3B31" w:rsidRPr="00777F66" w:rsidRDefault="00ED3B31" w:rsidP="00ED3B31">
      <w:pPr>
        <w:rPr>
          <w:rFonts w:cs="Arial"/>
          <w:b/>
          <w:sz w:val="22"/>
          <w:szCs w:val="22"/>
        </w:rPr>
      </w:pPr>
    </w:p>
    <w:p w:rsidR="00ED3B31" w:rsidRPr="00777F66" w:rsidRDefault="00ED3B31" w:rsidP="00ED3B31">
      <w:pPr>
        <w:ind w:left="720" w:right="720"/>
        <w:rPr>
          <w:rFonts w:cs="Arial"/>
          <w:szCs w:val="20"/>
        </w:rPr>
      </w:pPr>
      <w:r w:rsidRPr="00777F66">
        <w:rPr>
          <w:rFonts w:cs="Arial"/>
          <w:szCs w:val="20"/>
        </w:rPr>
        <w:lastRenderedPageBreak/>
        <w:t xml:space="preserve">*Note: </w:t>
      </w:r>
      <w:r w:rsidR="00D41B01" w:rsidRPr="00777F66">
        <w:rPr>
          <w:rFonts w:cs="Arial"/>
          <w:szCs w:val="20"/>
        </w:rPr>
        <w:t>The</w:t>
      </w:r>
      <w:r w:rsidRPr="00777F66">
        <w:rPr>
          <w:rFonts w:cs="Arial"/>
          <w:szCs w:val="20"/>
        </w:rPr>
        <w:t xml:space="preserve"> measure case labor and base case labor are assumed to be the same value reducing the equation to the following:</w:t>
      </w:r>
    </w:p>
    <w:p w:rsidR="00ED3B31" w:rsidRPr="00777F66" w:rsidRDefault="00ED3B31" w:rsidP="00ED3B31">
      <w:pPr>
        <w:ind w:left="720" w:right="720"/>
        <w:rPr>
          <w:rFonts w:cs="Arial"/>
          <w:szCs w:val="20"/>
        </w:rPr>
      </w:pPr>
    </w:p>
    <w:p w:rsidR="00ED3B31" w:rsidRPr="00777F66" w:rsidRDefault="00ED3B31" w:rsidP="00ED3B31">
      <w:pPr>
        <w:ind w:firstLine="720"/>
        <w:rPr>
          <w:rFonts w:cs="Arial"/>
          <w:szCs w:val="20"/>
        </w:rPr>
      </w:pPr>
      <w:r w:rsidRPr="00777F66">
        <w:rPr>
          <w:rFonts w:cs="Arial"/>
          <w:szCs w:val="20"/>
        </w:rPr>
        <w:t>IMC = Measure Equipment Cost – Base Case Equipment Cost</w:t>
      </w:r>
    </w:p>
    <w:p w:rsidR="00ED3B31" w:rsidRPr="00777F66" w:rsidRDefault="00ED3B31" w:rsidP="00ED3B31">
      <w:pPr>
        <w:ind w:firstLine="720"/>
        <w:rPr>
          <w:rFonts w:cs="Arial"/>
          <w:szCs w:val="20"/>
        </w:rPr>
      </w:pPr>
    </w:p>
    <w:p w:rsidR="006146EE" w:rsidRPr="00777F66" w:rsidRDefault="006146EE" w:rsidP="006146EE">
      <w:pPr>
        <w:ind w:firstLine="720"/>
        <w:rPr>
          <w:rFonts w:cs="Arial"/>
          <w:i/>
          <w:szCs w:val="20"/>
        </w:rPr>
      </w:pPr>
      <w:r w:rsidRPr="00777F66">
        <w:rPr>
          <w:rFonts w:cs="Arial"/>
          <w:i/>
          <w:szCs w:val="20"/>
        </w:rPr>
        <w:t xml:space="preserve">IMC for </w:t>
      </w:r>
      <w:r w:rsidR="000E78B5" w:rsidRPr="00777F66">
        <w:rPr>
          <w:rFonts w:cs="Arial"/>
          <w:i/>
          <w:szCs w:val="20"/>
        </w:rPr>
        <w:t>the first measure</w:t>
      </w:r>
      <w:r w:rsidRPr="00777F66">
        <w:rPr>
          <w:rFonts w:cs="Arial"/>
          <w:i/>
          <w:szCs w:val="20"/>
        </w:rPr>
        <w:t xml:space="preserve"> = $</w:t>
      </w:r>
      <w:r w:rsidR="00690F75" w:rsidRPr="00777F66">
        <w:rPr>
          <w:rFonts w:cs="Arial"/>
          <w:i/>
          <w:szCs w:val="20"/>
        </w:rPr>
        <w:t>2</w:t>
      </w:r>
      <w:r w:rsidR="00856D49" w:rsidRPr="00777F66">
        <w:rPr>
          <w:rFonts w:cs="Arial"/>
          <w:i/>
          <w:szCs w:val="20"/>
        </w:rPr>
        <w:t>8.50</w:t>
      </w:r>
      <w:r w:rsidRPr="00777F66">
        <w:rPr>
          <w:rFonts w:cs="Arial"/>
          <w:i/>
          <w:szCs w:val="20"/>
        </w:rPr>
        <w:t xml:space="preserve"> per </w:t>
      </w:r>
      <w:r w:rsidR="00690F75" w:rsidRPr="00777F66">
        <w:rPr>
          <w:rFonts w:cs="Arial"/>
          <w:i/>
          <w:szCs w:val="20"/>
        </w:rPr>
        <w:t>linear foot</w:t>
      </w:r>
      <w:r w:rsidRPr="00777F66">
        <w:rPr>
          <w:rFonts w:cs="Arial"/>
          <w:i/>
          <w:szCs w:val="20"/>
        </w:rPr>
        <w:t>- $</w:t>
      </w:r>
      <w:r w:rsidR="00690F75" w:rsidRPr="00777F66">
        <w:rPr>
          <w:rFonts w:cs="Arial"/>
          <w:i/>
          <w:szCs w:val="20"/>
        </w:rPr>
        <w:t>3.14</w:t>
      </w:r>
      <w:r w:rsidRPr="00777F66">
        <w:rPr>
          <w:rFonts w:cs="Arial"/>
          <w:i/>
          <w:szCs w:val="20"/>
        </w:rPr>
        <w:t xml:space="preserve"> per </w:t>
      </w:r>
      <w:r w:rsidR="00690F75" w:rsidRPr="00777F66">
        <w:rPr>
          <w:rFonts w:cs="Arial"/>
          <w:i/>
          <w:szCs w:val="20"/>
        </w:rPr>
        <w:t>lin</w:t>
      </w:r>
      <w:r w:rsidR="000E78B5" w:rsidRPr="00777F66">
        <w:rPr>
          <w:rFonts w:cs="Arial"/>
          <w:i/>
          <w:szCs w:val="20"/>
        </w:rPr>
        <w:t>e</w:t>
      </w:r>
      <w:r w:rsidR="00690F75" w:rsidRPr="00777F66">
        <w:rPr>
          <w:rFonts w:cs="Arial"/>
          <w:i/>
          <w:szCs w:val="20"/>
        </w:rPr>
        <w:t>ar foot</w:t>
      </w:r>
      <w:r w:rsidRPr="00777F66">
        <w:rPr>
          <w:rFonts w:cs="Arial"/>
          <w:i/>
          <w:szCs w:val="20"/>
        </w:rPr>
        <w:t xml:space="preserve"> = $</w:t>
      </w:r>
      <w:r w:rsidR="00690F75" w:rsidRPr="00777F66">
        <w:rPr>
          <w:rFonts w:cs="Arial"/>
          <w:i/>
          <w:szCs w:val="20"/>
        </w:rPr>
        <w:t>2</w:t>
      </w:r>
      <w:r w:rsidR="00856D49" w:rsidRPr="00777F66">
        <w:rPr>
          <w:rFonts w:cs="Arial"/>
          <w:i/>
          <w:szCs w:val="20"/>
        </w:rPr>
        <w:t>5.36</w:t>
      </w:r>
      <w:r w:rsidRPr="00777F66">
        <w:rPr>
          <w:rFonts w:cs="Arial"/>
          <w:i/>
          <w:szCs w:val="20"/>
        </w:rPr>
        <w:t xml:space="preserve"> per </w:t>
      </w:r>
      <w:r w:rsidR="00690F75" w:rsidRPr="00777F66">
        <w:rPr>
          <w:rFonts w:cs="Arial"/>
          <w:i/>
          <w:szCs w:val="20"/>
        </w:rPr>
        <w:t>linear foot</w:t>
      </w:r>
    </w:p>
    <w:p w:rsidR="00ED3B31" w:rsidRPr="00777F66" w:rsidRDefault="00ED3B31" w:rsidP="004203DD">
      <w:pPr>
        <w:keepNext/>
        <w:keepLines/>
        <w:rPr>
          <w:rFonts w:cs="Arial"/>
          <w:sz w:val="22"/>
          <w:szCs w:val="22"/>
        </w:rPr>
      </w:pPr>
    </w:p>
    <w:p w:rsidR="00A42841" w:rsidRPr="00777F66" w:rsidRDefault="00A42841" w:rsidP="004203DD">
      <w:pPr>
        <w:keepNext/>
        <w:keepLines/>
        <w:rPr>
          <w:rFonts w:cs="Arial"/>
          <w:sz w:val="22"/>
          <w:szCs w:val="22"/>
        </w:rPr>
      </w:pPr>
    </w:p>
    <w:p w:rsidR="00A42841" w:rsidRPr="00777F66" w:rsidRDefault="00A42841" w:rsidP="004203DD">
      <w:pPr>
        <w:keepNext/>
        <w:keepLines/>
        <w:rPr>
          <w:rFonts w:cs="Arial"/>
          <w:sz w:val="22"/>
          <w:szCs w:val="22"/>
        </w:rPr>
      </w:pPr>
    </w:p>
    <w:p w:rsidR="002F3610" w:rsidRPr="00777F66" w:rsidRDefault="002F3610" w:rsidP="004203DD">
      <w:pPr>
        <w:keepNext/>
        <w:keepLines/>
        <w:ind w:firstLine="720"/>
        <w:jc w:val="center"/>
        <w:rPr>
          <w:rFonts w:cs="Arial"/>
          <w:b/>
          <w:szCs w:val="20"/>
        </w:rPr>
      </w:pPr>
      <w:r w:rsidRPr="00777F66">
        <w:rPr>
          <w:rFonts w:cs="Arial"/>
          <w:b/>
          <w:szCs w:val="20"/>
        </w:rPr>
        <w:t>Summary Table for Section 4</w:t>
      </w:r>
    </w:p>
    <w:tbl>
      <w:tblPr>
        <w:tblW w:w="9190" w:type="dxa"/>
        <w:tblInd w:w="98" w:type="dxa"/>
        <w:tblLook w:val="04A0" w:firstRow="1" w:lastRow="0" w:firstColumn="1" w:lastColumn="0" w:noHBand="0" w:noVBand="1"/>
      </w:tblPr>
      <w:tblGrid>
        <w:gridCol w:w="2980"/>
        <w:gridCol w:w="2250"/>
        <w:gridCol w:w="1350"/>
        <w:gridCol w:w="1260"/>
        <w:gridCol w:w="1350"/>
      </w:tblGrid>
      <w:tr w:rsidR="00590D9D" w:rsidRPr="00777F66" w:rsidTr="00856D49">
        <w:trPr>
          <w:trHeight w:val="763"/>
        </w:trPr>
        <w:tc>
          <w:tcPr>
            <w:tcW w:w="29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90D9D" w:rsidRPr="00777F66" w:rsidRDefault="00590D9D">
            <w:pPr>
              <w:rPr>
                <w:rFonts w:cs="Arial"/>
                <w:b/>
                <w:bCs/>
                <w:color w:val="000000"/>
                <w:szCs w:val="20"/>
              </w:rPr>
            </w:pPr>
            <w:r w:rsidRPr="00777F66">
              <w:rPr>
                <w:rFonts w:cs="Arial"/>
                <w:b/>
                <w:bCs/>
                <w:color w:val="000000"/>
                <w:szCs w:val="20"/>
              </w:rPr>
              <w:t>Measure ID</w:t>
            </w:r>
          </w:p>
        </w:tc>
        <w:tc>
          <w:tcPr>
            <w:tcW w:w="2250" w:type="dxa"/>
            <w:tcBorders>
              <w:top w:val="single" w:sz="8" w:space="0" w:color="auto"/>
              <w:left w:val="nil"/>
              <w:bottom w:val="single" w:sz="8" w:space="0" w:color="auto"/>
              <w:right w:val="single" w:sz="8" w:space="0" w:color="auto"/>
            </w:tcBorders>
            <w:shd w:val="clear" w:color="auto" w:fill="auto"/>
            <w:vAlign w:val="center"/>
            <w:hideMark/>
          </w:tcPr>
          <w:p w:rsidR="00590D9D" w:rsidRPr="00777F66" w:rsidRDefault="00590D9D" w:rsidP="00047D18">
            <w:pPr>
              <w:jc w:val="center"/>
              <w:rPr>
                <w:rFonts w:cs="Arial"/>
                <w:b/>
                <w:bCs/>
                <w:color w:val="000000"/>
                <w:szCs w:val="20"/>
              </w:rPr>
            </w:pPr>
            <w:r w:rsidRPr="00777F66">
              <w:rPr>
                <w:rFonts w:cs="Arial"/>
                <w:b/>
                <w:bCs/>
                <w:color w:val="000000"/>
                <w:szCs w:val="20"/>
              </w:rPr>
              <w:t>Transaction Type</w:t>
            </w:r>
          </w:p>
        </w:tc>
        <w:tc>
          <w:tcPr>
            <w:tcW w:w="1350" w:type="dxa"/>
            <w:tcBorders>
              <w:top w:val="single" w:sz="8" w:space="0" w:color="auto"/>
              <w:left w:val="nil"/>
              <w:bottom w:val="single" w:sz="8" w:space="0" w:color="auto"/>
              <w:right w:val="single" w:sz="8" w:space="0" w:color="auto"/>
            </w:tcBorders>
            <w:shd w:val="clear" w:color="auto" w:fill="auto"/>
            <w:vAlign w:val="center"/>
            <w:hideMark/>
          </w:tcPr>
          <w:p w:rsidR="00590D9D" w:rsidRPr="00777F66" w:rsidRDefault="00590D9D" w:rsidP="00047D18">
            <w:pPr>
              <w:jc w:val="center"/>
              <w:rPr>
                <w:rFonts w:cs="Arial"/>
                <w:b/>
                <w:bCs/>
                <w:color w:val="000000"/>
                <w:szCs w:val="20"/>
              </w:rPr>
            </w:pPr>
            <w:r w:rsidRPr="00777F66">
              <w:rPr>
                <w:rFonts w:cs="Arial"/>
                <w:b/>
                <w:bCs/>
                <w:color w:val="000000"/>
                <w:szCs w:val="20"/>
              </w:rPr>
              <w:t>Base Case Total Cost</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590D9D" w:rsidRPr="00777F66" w:rsidRDefault="00590D9D" w:rsidP="00047D18">
            <w:pPr>
              <w:jc w:val="center"/>
              <w:rPr>
                <w:rFonts w:cs="Arial"/>
                <w:b/>
                <w:color w:val="000000"/>
                <w:szCs w:val="20"/>
              </w:rPr>
            </w:pPr>
            <w:r w:rsidRPr="00777F66">
              <w:rPr>
                <w:rFonts w:cs="Arial"/>
                <w:b/>
                <w:color w:val="000000"/>
                <w:szCs w:val="20"/>
              </w:rPr>
              <w:t>Measure Eqpt Cost</w:t>
            </w:r>
          </w:p>
        </w:tc>
        <w:tc>
          <w:tcPr>
            <w:tcW w:w="1350" w:type="dxa"/>
            <w:tcBorders>
              <w:top w:val="single" w:sz="8" w:space="0" w:color="auto"/>
              <w:left w:val="nil"/>
              <w:bottom w:val="single" w:sz="8" w:space="0" w:color="auto"/>
              <w:right w:val="single" w:sz="8" w:space="0" w:color="auto"/>
            </w:tcBorders>
            <w:shd w:val="clear" w:color="auto" w:fill="auto"/>
            <w:vAlign w:val="center"/>
            <w:hideMark/>
          </w:tcPr>
          <w:p w:rsidR="00590D9D" w:rsidRPr="00777F66" w:rsidRDefault="00590D9D" w:rsidP="00047D18">
            <w:pPr>
              <w:jc w:val="center"/>
              <w:rPr>
                <w:rFonts w:cs="Arial"/>
                <w:b/>
                <w:color w:val="000000"/>
                <w:szCs w:val="20"/>
              </w:rPr>
            </w:pPr>
            <w:r w:rsidRPr="00777F66">
              <w:rPr>
                <w:rFonts w:cs="Arial"/>
                <w:b/>
                <w:color w:val="000000"/>
                <w:szCs w:val="20"/>
              </w:rPr>
              <w:t>Incremental Measure Cost</w:t>
            </w:r>
          </w:p>
        </w:tc>
      </w:tr>
      <w:tr w:rsidR="00590D9D" w:rsidRPr="00777F66" w:rsidTr="00856D49">
        <w:trPr>
          <w:trHeight w:hRule="exact" w:val="259"/>
        </w:trPr>
        <w:tc>
          <w:tcPr>
            <w:tcW w:w="2980" w:type="dxa"/>
            <w:tcBorders>
              <w:top w:val="nil"/>
              <w:left w:val="single" w:sz="8" w:space="0" w:color="auto"/>
              <w:bottom w:val="single" w:sz="8" w:space="0" w:color="auto"/>
              <w:right w:val="single" w:sz="8" w:space="0" w:color="auto"/>
            </w:tcBorders>
            <w:shd w:val="clear" w:color="auto" w:fill="auto"/>
            <w:vAlign w:val="center"/>
            <w:hideMark/>
          </w:tcPr>
          <w:p w:rsidR="00590D9D" w:rsidRPr="00777F66" w:rsidRDefault="00590D9D" w:rsidP="00DC5019">
            <w:pPr>
              <w:jc w:val="center"/>
              <w:rPr>
                <w:rFonts w:cs="Arial"/>
                <w:color w:val="000000"/>
                <w:szCs w:val="20"/>
              </w:rPr>
            </w:pPr>
            <w:r w:rsidRPr="00777F66">
              <w:rPr>
                <w:rFonts w:cs="Arial"/>
                <w:color w:val="000000"/>
                <w:szCs w:val="20"/>
              </w:rPr>
              <w:t>L</w:t>
            </w:r>
            <w:r w:rsidR="00DC5019" w:rsidRPr="00777F66">
              <w:rPr>
                <w:rFonts w:cs="Arial"/>
                <w:color w:val="000000"/>
                <w:szCs w:val="20"/>
              </w:rPr>
              <w:t>B03</w:t>
            </w:r>
            <w:r w:rsidRPr="00777F66">
              <w:rPr>
                <w:rFonts w:cs="Arial"/>
                <w:color w:val="000000"/>
                <w:szCs w:val="20"/>
              </w:rPr>
              <w:t>, L</w:t>
            </w:r>
            <w:r w:rsidR="00DC5019" w:rsidRPr="00777F66">
              <w:rPr>
                <w:rFonts w:cs="Arial"/>
                <w:color w:val="000000"/>
                <w:szCs w:val="20"/>
              </w:rPr>
              <w:t>B07</w:t>
            </w:r>
            <w:r w:rsidRPr="00777F66">
              <w:rPr>
                <w:rFonts w:cs="Arial"/>
                <w:color w:val="000000"/>
                <w:szCs w:val="20"/>
              </w:rPr>
              <w:t>, L</w:t>
            </w:r>
            <w:r w:rsidR="00DC5019" w:rsidRPr="00777F66">
              <w:rPr>
                <w:rFonts w:cs="Arial"/>
                <w:color w:val="000000"/>
                <w:szCs w:val="20"/>
              </w:rPr>
              <w:t>B11</w:t>
            </w:r>
            <w:r w:rsidRPr="00777F66">
              <w:rPr>
                <w:rFonts w:cs="Arial"/>
                <w:color w:val="000000"/>
                <w:szCs w:val="20"/>
              </w:rPr>
              <w:t xml:space="preserve">, </w:t>
            </w:r>
          </w:p>
        </w:tc>
        <w:tc>
          <w:tcPr>
            <w:tcW w:w="2250" w:type="dxa"/>
            <w:tcBorders>
              <w:top w:val="nil"/>
              <w:left w:val="nil"/>
              <w:bottom w:val="single" w:sz="8" w:space="0" w:color="auto"/>
              <w:right w:val="single" w:sz="8" w:space="0" w:color="auto"/>
            </w:tcBorders>
            <w:shd w:val="clear" w:color="auto" w:fill="auto"/>
            <w:vAlign w:val="center"/>
            <w:hideMark/>
          </w:tcPr>
          <w:p w:rsidR="00590D9D" w:rsidRPr="00777F66" w:rsidRDefault="00590D9D">
            <w:pPr>
              <w:jc w:val="center"/>
              <w:rPr>
                <w:rFonts w:cs="Arial"/>
                <w:color w:val="000000"/>
                <w:szCs w:val="20"/>
              </w:rPr>
            </w:pPr>
            <w:r w:rsidRPr="00777F66">
              <w:rPr>
                <w:rFonts w:cs="Arial"/>
                <w:color w:val="000000"/>
                <w:szCs w:val="20"/>
              </w:rPr>
              <w:t>ROB</w:t>
            </w:r>
          </w:p>
        </w:tc>
        <w:tc>
          <w:tcPr>
            <w:tcW w:w="1350" w:type="dxa"/>
            <w:tcBorders>
              <w:top w:val="nil"/>
              <w:left w:val="nil"/>
              <w:bottom w:val="single" w:sz="8" w:space="0" w:color="auto"/>
              <w:right w:val="single" w:sz="8" w:space="0" w:color="auto"/>
            </w:tcBorders>
            <w:shd w:val="clear" w:color="auto" w:fill="auto"/>
            <w:vAlign w:val="center"/>
            <w:hideMark/>
          </w:tcPr>
          <w:p w:rsidR="00590D9D" w:rsidRPr="00777F66" w:rsidRDefault="00590D9D">
            <w:pPr>
              <w:jc w:val="right"/>
              <w:rPr>
                <w:rFonts w:cs="Arial"/>
                <w:color w:val="000000"/>
                <w:szCs w:val="20"/>
              </w:rPr>
            </w:pPr>
            <w:r w:rsidRPr="00777F66">
              <w:rPr>
                <w:rFonts w:cs="Arial"/>
                <w:color w:val="000000"/>
                <w:szCs w:val="20"/>
              </w:rPr>
              <w:t xml:space="preserve">$3.14 </w:t>
            </w:r>
          </w:p>
        </w:tc>
        <w:tc>
          <w:tcPr>
            <w:tcW w:w="1260" w:type="dxa"/>
            <w:tcBorders>
              <w:top w:val="nil"/>
              <w:left w:val="nil"/>
              <w:bottom w:val="single" w:sz="8" w:space="0" w:color="auto"/>
              <w:right w:val="single" w:sz="8" w:space="0" w:color="auto"/>
            </w:tcBorders>
            <w:shd w:val="clear" w:color="auto" w:fill="auto"/>
            <w:vAlign w:val="center"/>
            <w:hideMark/>
          </w:tcPr>
          <w:p w:rsidR="00590D9D" w:rsidRPr="00777F66" w:rsidRDefault="00590D9D">
            <w:pPr>
              <w:jc w:val="right"/>
              <w:rPr>
                <w:rFonts w:cs="Arial"/>
                <w:color w:val="000000"/>
                <w:szCs w:val="20"/>
              </w:rPr>
            </w:pPr>
            <w:r w:rsidRPr="00777F66">
              <w:rPr>
                <w:rFonts w:cs="Arial"/>
                <w:color w:val="000000"/>
                <w:szCs w:val="20"/>
              </w:rPr>
              <w:t>$24.84</w:t>
            </w:r>
          </w:p>
        </w:tc>
        <w:tc>
          <w:tcPr>
            <w:tcW w:w="1350" w:type="dxa"/>
            <w:tcBorders>
              <w:top w:val="nil"/>
              <w:left w:val="nil"/>
              <w:bottom w:val="single" w:sz="8" w:space="0" w:color="auto"/>
              <w:right w:val="single" w:sz="8" w:space="0" w:color="auto"/>
            </w:tcBorders>
            <w:shd w:val="clear" w:color="auto" w:fill="auto"/>
            <w:noWrap/>
            <w:vAlign w:val="center"/>
            <w:hideMark/>
          </w:tcPr>
          <w:p w:rsidR="00590D9D" w:rsidRPr="00777F66" w:rsidRDefault="00590D9D">
            <w:pPr>
              <w:jc w:val="right"/>
              <w:rPr>
                <w:rFonts w:cs="Arial"/>
                <w:color w:val="000000"/>
                <w:szCs w:val="20"/>
              </w:rPr>
            </w:pPr>
            <w:r w:rsidRPr="00777F66">
              <w:rPr>
                <w:rFonts w:cs="Arial"/>
                <w:color w:val="000000"/>
                <w:szCs w:val="20"/>
              </w:rPr>
              <w:t>$21.70</w:t>
            </w:r>
          </w:p>
        </w:tc>
      </w:tr>
      <w:tr w:rsidR="00590D9D" w:rsidRPr="00777F66" w:rsidTr="00856D49">
        <w:trPr>
          <w:trHeight w:hRule="exact" w:val="259"/>
        </w:trPr>
        <w:tc>
          <w:tcPr>
            <w:tcW w:w="2980" w:type="dxa"/>
            <w:tcBorders>
              <w:top w:val="nil"/>
              <w:left w:val="single" w:sz="8" w:space="0" w:color="auto"/>
              <w:bottom w:val="single" w:sz="8" w:space="0" w:color="auto"/>
              <w:right w:val="single" w:sz="8" w:space="0" w:color="auto"/>
            </w:tcBorders>
            <w:shd w:val="clear" w:color="auto" w:fill="auto"/>
            <w:vAlign w:val="center"/>
            <w:hideMark/>
          </w:tcPr>
          <w:p w:rsidR="00590D9D" w:rsidRPr="00777F66" w:rsidRDefault="00590D9D" w:rsidP="00E438D8">
            <w:pPr>
              <w:jc w:val="center"/>
              <w:rPr>
                <w:rFonts w:cs="Arial"/>
                <w:color w:val="000000"/>
                <w:szCs w:val="20"/>
              </w:rPr>
            </w:pPr>
            <w:r w:rsidRPr="00777F66">
              <w:rPr>
                <w:rFonts w:cs="Arial"/>
                <w:color w:val="000000"/>
                <w:szCs w:val="20"/>
              </w:rPr>
              <w:t>L</w:t>
            </w:r>
            <w:r w:rsidR="00E438D8" w:rsidRPr="00777F66">
              <w:rPr>
                <w:rFonts w:cs="Arial"/>
                <w:color w:val="000000"/>
                <w:szCs w:val="20"/>
              </w:rPr>
              <w:t>B05</w:t>
            </w:r>
            <w:r w:rsidRPr="00777F66">
              <w:rPr>
                <w:rFonts w:cs="Arial"/>
                <w:color w:val="000000"/>
                <w:szCs w:val="20"/>
              </w:rPr>
              <w:t>, L</w:t>
            </w:r>
            <w:r w:rsidR="00E438D8" w:rsidRPr="00777F66">
              <w:rPr>
                <w:rFonts w:cs="Arial"/>
                <w:color w:val="000000"/>
                <w:szCs w:val="20"/>
              </w:rPr>
              <w:t>B09</w:t>
            </w:r>
            <w:r w:rsidRPr="00777F66">
              <w:rPr>
                <w:rFonts w:cs="Arial"/>
                <w:color w:val="000000"/>
                <w:szCs w:val="20"/>
              </w:rPr>
              <w:t>, L</w:t>
            </w:r>
            <w:r w:rsidR="00E438D8" w:rsidRPr="00777F66">
              <w:rPr>
                <w:rFonts w:cs="Arial"/>
                <w:color w:val="000000"/>
                <w:szCs w:val="20"/>
              </w:rPr>
              <w:t>B13</w:t>
            </w:r>
          </w:p>
        </w:tc>
        <w:tc>
          <w:tcPr>
            <w:tcW w:w="2250" w:type="dxa"/>
            <w:tcBorders>
              <w:top w:val="nil"/>
              <w:left w:val="nil"/>
              <w:bottom w:val="single" w:sz="8" w:space="0" w:color="auto"/>
              <w:right w:val="single" w:sz="8" w:space="0" w:color="auto"/>
            </w:tcBorders>
            <w:shd w:val="clear" w:color="auto" w:fill="auto"/>
            <w:vAlign w:val="center"/>
            <w:hideMark/>
          </w:tcPr>
          <w:p w:rsidR="00590D9D" w:rsidRPr="00777F66" w:rsidRDefault="00590D9D">
            <w:pPr>
              <w:jc w:val="center"/>
              <w:rPr>
                <w:rFonts w:cs="Arial"/>
                <w:color w:val="000000"/>
                <w:szCs w:val="20"/>
              </w:rPr>
            </w:pPr>
            <w:r w:rsidRPr="00777F66">
              <w:rPr>
                <w:rFonts w:cs="Arial"/>
                <w:color w:val="000000"/>
                <w:szCs w:val="20"/>
              </w:rPr>
              <w:t>ROB</w:t>
            </w:r>
          </w:p>
        </w:tc>
        <w:tc>
          <w:tcPr>
            <w:tcW w:w="1350" w:type="dxa"/>
            <w:tcBorders>
              <w:top w:val="nil"/>
              <w:left w:val="nil"/>
              <w:bottom w:val="single" w:sz="8" w:space="0" w:color="auto"/>
              <w:right w:val="single" w:sz="8" w:space="0" w:color="auto"/>
            </w:tcBorders>
            <w:shd w:val="clear" w:color="auto" w:fill="auto"/>
            <w:vAlign w:val="center"/>
            <w:hideMark/>
          </w:tcPr>
          <w:p w:rsidR="00590D9D" w:rsidRPr="00777F66" w:rsidRDefault="00590D9D">
            <w:pPr>
              <w:jc w:val="right"/>
              <w:rPr>
                <w:rFonts w:cs="Arial"/>
                <w:color w:val="000000"/>
                <w:szCs w:val="20"/>
              </w:rPr>
            </w:pPr>
            <w:r w:rsidRPr="00777F66">
              <w:rPr>
                <w:rFonts w:cs="Arial"/>
                <w:color w:val="000000"/>
                <w:szCs w:val="20"/>
              </w:rPr>
              <w:t xml:space="preserve">$7.01 </w:t>
            </w:r>
          </w:p>
        </w:tc>
        <w:tc>
          <w:tcPr>
            <w:tcW w:w="1260" w:type="dxa"/>
            <w:tcBorders>
              <w:top w:val="nil"/>
              <w:left w:val="nil"/>
              <w:bottom w:val="single" w:sz="8" w:space="0" w:color="auto"/>
              <w:right w:val="single" w:sz="8" w:space="0" w:color="auto"/>
            </w:tcBorders>
            <w:shd w:val="clear" w:color="auto" w:fill="auto"/>
            <w:vAlign w:val="center"/>
            <w:hideMark/>
          </w:tcPr>
          <w:p w:rsidR="00590D9D" w:rsidRPr="00777F66" w:rsidRDefault="00590D9D">
            <w:pPr>
              <w:jc w:val="right"/>
              <w:rPr>
                <w:rFonts w:cs="Arial"/>
                <w:color w:val="000000"/>
                <w:szCs w:val="20"/>
              </w:rPr>
            </w:pPr>
            <w:r w:rsidRPr="00777F66">
              <w:rPr>
                <w:rFonts w:cs="Arial"/>
                <w:color w:val="000000"/>
                <w:szCs w:val="20"/>
              </w:rPr>
              <w:t>$24.84</w:t>
            </w:r>
          </w:p>
        </w:tc>
        <w:tc>
          <w:tcPr>
            <w:tcW w:w="1350" w:type="dxa"/>
            <w:tcBorders>
              <w:top w:val="nil"/>
              <w:left w:val="nil"/>
              <w:bottom w:val="single" w:sz="8" w:space="0" w:color="auto"/>
              <w:right w:val="single" w:sz="8" w:space="0" w:color="auto"/>
            </w:tcBorders>
            <w:shd w:val="clear" w:color="auto" w:fill="auto"/>
            <w:noWrap/>
            <w:vAlign w:val="center"/>
            <w:hideMark/>
          </w:tcPr>
          <w:p w:rsidR="00590D9D" w:rsidRPr="00777F66" w:rsidRDefault="00590D9D">
            <w:pPr>
              <w:jc w:val="right"/>
              <w:rPr>
                <w:rFonts w:cs="Arial"/>
                <w:color w:val="000000"/>
                <w:szCs w:val="20"/>
              </w:rPr>
            </w:pPr>
            <w:r w:rsidRPr="00777F66">
              <w:rPr>
                <w:rFonts w:cs="Arial"/>
                <w:color w:val="000000"/>
                <w:szCs w:val="20"/>
              </w:rPr>
              <w:t>$17.83</w:t>
            </w:r>
          </w:p>
        </w:tc>
      </w:tr>
      <w:tr w:rsidR="00590D9D" w:rsidRPr="00777F66" w:rsidTr="00856D49">
        <w:trPr>
          <w:trHeight w:hRule="exact" w:val="259"/>
        </w:trPr>
        <w:tc>
          <w:tcPr>
            <w:tcW w:w="2980" w:type="dxa"/>
            <w:tcBorders>
              <w:top w:val="nil"/>
              <w:left w:val="single" w:sz="8" w:space="0" w:color="auto"/>
              <w:bottom w:val="single" w:sz="8" w:space="0" w:color="auto"/>
              <w:right w:val="single" w:sz="8" w:space="0" w:color="auto"/>
            </w:tcBorders>
            <w:shd w:val="clear" w:color="auto" w:fill="auto"/>
            <w:vAlign w:val="center"/>
            <w:hideMark/>
          </w:tcPr>
          <w:p w:rsidR="00590D9D" w:rsidRPr="00777F66" w:rsidRDefault="00B573CA">
            <w:pPr>
              <w:jc w:val="center"/>
              <w:rPr>
                <w:rFonts w:cs="Arial"/>
                <w:color w:val="000000"/>
                <w:szCs w:val="20"/>
              </w:rPr>
            </w:pPr>
            <w:r w:rsidRPr="00777F66">
              <w:rPr>
                <w:rFonts w:cs="Arial"/>
                <w:color w:val="000000"/>
                <w:szCs w:val="20"/>
              </w:rPr>
              <w:t>LC01, LC05, LC09, LC13</w:t>
            </w:r>
          </w:p>
        </w:tc>
        <w:tc>
          <w:tcPr>
            <w:tcW w:w="2250" w:type="dxa"/>
            <w:tcBorders>
              <w:top w:val="nil"/>
              <w:left w:val="nil"/>
              <w:bottom w:val="single" w:sz="8" w:space="0" w:color="auto"/>
              <w:right w:val="single" w:sz="8" w:space="0" w:color="auto"/>
            </w:tcBorders>
            <w:shd w:val="clear" w:color="auto" w:fill="auto"/>
            <w:vAlign w:val="center"/>
            <w:hideMark/>
          </w:tcPr>
          <w:p w:rsidR="00590D9D" w:rsidRPr="00777F66" w:rsidRDefault="00590D9D">
            <w:pPr>
              <w:jc w:val="center"/>
              <w:rPr>
                <w:rFonts w:cs="Arial"/>
                <w:color w:val="000000"/>
                <w:szCs w:val="20"/>
              </w:rPr>
            </w:pPr>
            <w:r w:rsidRPr="00777F66">
              <w:rPr>
                <w:rFonts w:cs="Arial"/>
                <w:color w:val="000000"/>
                <w:szCs w:val="20"/>
              </w:rPr>
              <w:t>ROB</w:t>
            </w:r>
          </w:p>
        </w:tc>
        <w:tc>
          <w:tcPr>
            <w:tcW w:w="1350" w:type="dxa"/>
            <w:tcBorders>
              <w:top w:val="nil"/>
              <w:left w:val="nil"/>
              <w:bottom w:val="single" w:sz="8" w:space="0" w:color="auto"/>
              <w:right w:val="single" w:sz="8" w:space="0" w:color="auto"/>
            </w:tcBorders>
            <w:shd w:val="clear" w:color="auto" w:fill="auto"/>
            <w:vAlign w:val="center"/>
            <w:hideMark/>
          </w:tcPr>
          <w:p w:rsidR="00590D9D" w:rsidRPr="00777F66" w:rsidRDefault="00590D9D">
            <w:pPr>
              <w:jc w:val="right"/>
              <w:rPr>
                <w:rFonts w:cs="Arial"/>
                <w:color w:val="000000"/>
                <w:szCs w:val="20"/>
              </w:rPr>
            </w:pPr>
            <w:r w:rsidRPr="00777F66">
              <w:rPr>
                <w:rFonts w:cs="Arial"/>
                <w:color w:val="000000"/>
                <w:szCs w:val="20"/>
              </w:rPr>
              <w:t xml:space="preserve">$6.28 </w:t>
            </w:r>
          </w:p>
        </w:tc>
        <w:tc>
          <w:tcPr>
            <w:tcW w:w="1260" w:type="dxa"/>
            <w:tcBorders>
              <w:top w:val="nil"/>
              <w:left w:val="nil"/>
              <w:bottom w:val="single" w:sz="8" w:space="0" w:color="auto"/>
              <w:right w:val="single" w:sz="8" w:space="0" w:color="auto"/>
            </w:tcBorders>
            <w:shd w:val="clear" w:color="auto" w:fill="auto"/>
            <w:vAlign w:val="center"/>
            <w:hideMark/>
          </w:tcPr>
          <w:p w:rsidR="00590D9D" w:rsidRPr="00777F66" w:rsidRDefault="00590D9D">
            <w:pPr>
              <w:jc w:val="right"/>
              <w:rPr>
                <w:rFonts w:cs="Arial"/>
                <w:color w:val="000000"/>
                <w:szCs w:val="20"/>
              </w:rPr>
            </w:pPr>
            <w:r w:rsidRPr="00777F66">
              <w:rPr>
                <w:rFonts w:cs="Arial"/>
                <w:color w:val="000000"/>
                <w:szCs w:val="20"/>
              </w:rPr>
              <w:t>$31.16</w:t>
            </w:r>
          </w:p>
        </w:tc>
        <w:tc>
          <w:tcPr>
            <w:tcW w:w="1350" w:type="dxa"/>
            <w:tcBorders>
              <w:top w:val="nil"/>
              <w:left w:val="nil"/>
              <w:bottom w:val="single" w:sz="8" w:space="0" w:color="auto"/>
              <w:right w:val="single" w:sz="8" w:space="0" w:color="auto"/>
            </w:tcBorders>
            <w:shd w:val="clear" w:color="auto" w:fill="auto"/>
            <w:noWrap/>
            <w:vAlign w:val="center"/>
            <w:hideMark/>
          </w:tcPr>
          <w:p w:rsidR="00590D9D" w:rsidRPr="00777F66" w:rsidRDefault="00590D9D">
            <w:pPr>
              <w:jc w:val="right"/>
              <w:rPr>
                <w:rFonts w:cs="Arial"/>
                <w:color w:val="000000"/>
                <w:szCs w:val="20"/>
              </w:rPr>
            </w:pPr>
            <w:r w:rsidRPr="00777F66">
              <w:rPr>
                <w:rFonts w:cs="Arial"/>
                <w:color w:val="000000"/>
                <w:szCs w:val="20"/>
              </w:rPr>
              <w:t>$24.88</w:t>
            </w:r>
          </w:p>
        </w:tc>
      </w:tr>
      <w:tr w:rsidR="00590D9D" w:rsidTr="00856D49">
        <w:trPr>
          <w:trHeight w:hRule="exact" w:val="259"/>
        </w:trPr>
        <w:tc>
          <w:tcPr>
            <w:tcW w:w="2980" w:type="dxa"/>
            <w:tcBorders>
              <w:top w:val="nil"/>
              <w:left w:val="single" w:sz="8" w:space="0" w:color="auto"/>
              <w:bottom w:val="single" w:sz="8" w:space="0" w:color="auto"/>
              <w:right w:val="single" w:sz="8" w:space="0" w:color="auto"/>
            </w:tcBorders>
            <w:shd w:val="clear" w:color="auto" w:fill="auto"/>
            <w:vAlign w:val="center"/>
            <w:hideMark/>
          </w:tcPr>
          <w:p w:rsidR="00590D9D" w:rsidRPr="00777F66" w:rsidRDefault="00B573CA">
            <w:pPr>
              <w:jc w:val="center"/>
              <w:rPr>
                <w:rFonts w:cs="Arial"/>
                <w:color w:val="000000"/>
                <w:szCs w:val="20"/>
              </w:rPr>
            </w:pPr>
            <w:r w:rsidRPr="00777F66">
              <w:rPr>
                <w:rFonts w:cs="Arial"/>
                <w:color w:val="000000"/>
                <w:szCs w:val="20"/>
              </w:rPr>
              <w:t>LC03, LC07, LC11, LC15</w:t>
            </w:r>
          </w:p>
        </w:tc>
        <w:tc>
          <w:tcPr>
            <w:tcW w:w="2250" w:type="dxa"/>
            <w:tcBorders>
              <w:top w:val="nil"/>
              <w:left w:val="nil"/>
              <w:bottom w:val="single" w:sz="8" w:space="0" w:color="auto"/>
              <w:right w:val="single" w:sz="8" w:space="0" w:color="auto"/>
            </w:tcBorders>
            <w:shd w:val="clear" w:color="auto" w:fill="auto"/>
            <w:vAlign w:val="center"/>
            <w:hideMark/>
          </w:tcPr>
          <w:p w:rsidR="00590D9D" w:rsidRPr="00777F66" w:rsidRDefault="00590D9D">
            <w:pPr>
              <w:jc w:val="center"/>
              <w:rPr>
                <w:rFonts w:cs="Arial"/>
                <w:color w:val="000000"/>
                <w:szCs w:val="20"/>
              </w:rPr>
            </w:pPr>
            <w:r w:rsidRPr="00777F66">
              <w:rPr>
                <w:rFonts w:cs="Arial"/>
                <w:color w:val="000000"/>
                <w:szCs w:val="20"/>
              </w:rPr>
              <w:t>ROB</w:t>
            </w:r>
          </w:p>
        </w:tc>
        <w:tc>
          <w:tcPr>
            <w:tcW w:w="1350" w:type="dxa"/>
            <w:tcBorders>
              <w:top w:val="nil"/>
              <w:left w:val="nil"/>
              <w:bottom w:val="single" w:sz="8" w:space="0" w:color="auto"/>
              <w:right w:val="single" w:sz="8" w:space="0" w:color="auto"/>
            </w:tcBorders>
            <w:shd w:val="clear" w:color="auto" w:fill="auto"/>
            <w:vAlign w:val="center"/>
            <w:hideMark/>
          </w:tcPr>
          <w:p w:rsidR="00590D9D" w:rsidRPr="00777F66" w:rsidRDefault="00590D9D">
            <w:pPr>
              <w:jc w:val="right"/>
              <w:rPr>
                <w:rFonts w:cs="Arial"/>
                <w:color w:val="000000"/>
                <w:szCs w:val="20"/>
              </w:rPr>
            </w:pPr>
            <w:r w:rsidRPr="00777F66">
              <w:rPr>
                <w:rFonts w:cs="Arial"/>
                <w:color w:val="000000"/>
                <w:szCs w:val="20"/>
              </w:rPr>
              <w:t xml:space="preserve">$14.03 </w:t>
            </w:r>
          </w:p>
        </w:tc>
        <w:tc>
          <w:tcPr>
            <w:tcW w:w="1260" w:type="dxa"/>
            <w:tcBorders>
              <w:top w:val="nil"/>
              <w:left w:val="nil"/>
              <w:bottom w:val="single" w:sz="8" w:space="0" w:color="auto"/>
              <w:right w:val="single" w:sz="8" w:space="0" w:color="auto"/>
            </w:tcBorders>
            <w:shd w:val="clear" w:color="auto" w:fill="auto"/>
            <w:vAlign w:val="center"/>
            <w:hideMark/>
          </w:tcPr>
          <w:p w:rsidR="00590D9D" w:rsidRPr="00777F66" w:rsidRDefault="00590D9D">
            <w:pPr>
              <w:jc w:val="right"/>
              <w:rPr>
                <w:rFonts w:cs="Arial"/>
                <w:color w:val="000000"/>
                <w:szCs w:val="20"/>
              </w:rPr>
            </w:pPr>
            <w:r w:rsidRPr="00777F66">
              <w:rPr>
                <w:rFonts w:cs="Arial"/>
                <w:color w:val="000000"/>
                <w:szCs w:val="20"/>
              </w:rPr>
              <w:t>$31.16</w:t>
            </w:r>
          </w:p>
        </w:tc>
        <w:tc>
          <w:tcPr>
            <w:tcW w:w="1350" w:type="dxa"/>
            <w:tcBorders>
              <w:top w:val="nil"/>
              <w:left w:val="nil"/>
              <w:bottom w:val="single" w:sz="8" w:space="0" w:color="auto"/>
              <w:right w:val="single" w:sz="8" w:space="0" w:color="auto"/>
            </w:tcBorders>
            <w:shd w:val="clear" w:color="auto" w:fill="auto"/>
            <w:noWrap/>
            <w:vAlign w:val="center"/>
            <w:hideMark/>
          </w:tcPr>
          <w:p w:rsidR="00590D9D" w:rsidRDefault="00590D9D">
            <w:pPr>
              <w:jc w:val="right"/>
              <w:rPr>
                <w:rFonts w:cs="Arial"/>
                <w:color w:val="000000"/>
                <w:szCs w:val="20"/>
              </w:rPr>
            </w:pPr>
            <w:r w:rsidRPr="00777F66">
              <w:rPr>
                <w:rFonts w:cs="Arial"/>
                <w:color w:val="000000"/>
                <w:szCs w:val="20"/>
              </w:rPr>
              <w:t>$17.13</w:t>
            </w:r>
          </w:p>
        </w:tc>
      </w:tr>
    </w:tbl>
    <w:p w:rsidR="009168A1" w:rsidRPr="00DA0D90" w:rsidRDefault="00915CE6" w:rsidP="00DE0602">
      <w:pPr>
        <w:pStyle w:val="Heading1"/>
      </w:pPr>
      <w:r w:rsidRPr="00E9786A">
        <w:br w:type="page"/>
      </w:r>
      <w:bookmarkStart w:id="56" w:name="_Toc437853366"/>
      <w:r w:rsidR="00DE0602" w:rsidRPr="00E9786A">
        <w:lastRenderedPageBreak/>
        <w:t>R</w:t>
      </w:r>
      <w:r w:rsidR="000966CC" w:rsidRPr="00E9786A">
        <w:t>eferences</w:t>
      </w:r>
      <w:r w:rsidR="001946B1" w:rsidRPr="00E9786A">
        <w:t>:</w:t>
      </w:r>
      <w:bookmarkEnd w:id="56"/>
      <w:r w:rsidR="00844B27" w:rsidRPr="00E9786A">
        <w:t xml:space="preserve"> </w:t>
      </w:r>
    </w:p>
    <w:sectPr w:rsidR="009168A1" w:rsidRPr="00DA0D90" w:rsidSect="005A6D9E">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F66" w:rsidRDefault="00777F66">
      <w:r>
        <w:separator/>
      </w:r>
    </w:p>
  </w:endnote>
  <w:endnote w:type="continuationSeparator" w:id="0">
    <w:p w:rsidR="00777F66" w:rsidRDefault="00777F66">
      <w:r>
        <w:continuationSeparator/>
      </w:r>
    </w:p>
  </w:endnote>
  <w:endnote w:id="1">
    <w:p w:rsidR="00777F66" w:rsidRDefault="00777F66">
      <w:pPr>
        <w:pStyle w:val="EndnoteText"/>
      </w:pPr>
      <w:r>
        <w:rPr>
          <w:rStyle w:val="EndnoteReference"/>
        </w:rPr>
        <w:endnoteRef/>
      </w:r>
      <w:r>
        <w:t xml:space="preserve"> </w:t>
      </w:r>
      <w:r>
        <w:rPr>
          <w:i/>
        </w:rPr>
        <w:t>Demonstration Assessment of Light-Emitting Diode (LED) Freezer Case Lighting.</w:t>
      </w:r>
      <w:r>
        <w:t xml:space="preserve"> U.S. DOE Solid State Lighting Technology Demonstration GATEWAY Program.  October, 2009. </w:t>
      </w:r>
      <w:hyperlink r:id="rId1" w:history="1">
        <w:r>
          <w:rPr>
            <w:rStyle w:val="Hyperlink"/>
          </w:rPr>
          <w:t>http://apps1.eere.energy.gov/buildings/publications/pdfs/ssl/gateway_freezer-case.pdf</w:t>
        </w:r>
      </w:hyperlink>
      <w:r>
        <w:tab/>
      </w:r>
    </w:p>
  </w:endnote>
  <w:endnote w:id="2">
    <w:p w:rsidR="00777F66" w:rsidRDefault="00777F66" w:rsidP="0017046E">
      <w:pPr>
        <w:pStyle w:val="EndnoteText"/>
      </w:pPr>
    </w:p>
    <w:p w:rsidR="00777F66" w:rsidRDefault="00777F66" w:rsidP="0017046E">
      <w:pPr>
        <w:pStyle w:val="EndnoteText"/>
      </w:pPr>
      <w:r>
        <w:rPr>
          <w:rStyle w:val="EndnoteReference"/>
        </w:rPr>
        <w:endnoteRef/>
      </w:r>
      <w:r>
        <w:t xml:space="preserve"> Fricke, Brian A., and Bryan R. Becker. </w:t>
      </w:r>
      <w:r>
        <w:rPr>
          <w:i/>
        </w:rPr>
        <w:t xml:space="preserve">Doored Display Cases – They Save Energy, Don’t Lose Sales.” </w:t>
      </w:r>
      <w:r>
        <w:t xml:space="preserve">American Society of Heating, Refrigerating and Air-Conditioning Engineers, Inc. September, 2010. Posted to </w:t>
      </w:r>
      <w:hyperlink r:id="rId2" w:history="1">
        <w:r w:rsidRPr="00582DBE">
          <w:rPr>
            <w:rStyle w:val="Hyperlink"/>
          </w:rPr>
          <w:t>www.ashrae.org</w:t>
        </w:r>
      </w:hyperlink>
      <w:r>
        <w:t xml:space="preserve"> </w:t>
      </w:r>
    </w:p>
    <w:p w:rsidR="00777F66" w:rsidRPr="00CB6E28" w:rsidRDefault="00777F66" w:rsidP="0017046E">
      <w:pPr>
        <w:pStyle w:val="EndnoteText"/>
      </w:pPr>
    </w:p>
  </w:endnote>
  <w:endnote w:id="3">
    <w:p w:rsidR="00777F66" w:rsidRDefault="00777F66" w:rsidP="0017046E">
      <w:pPr>
        <w:pStyle w:val="EndnoteText"/>
      </w:pPr>
      <w:r>
        <w:rPr>
          <w:rStyle w:val="EndnoteReference"/>
        </w:rPr>
        <w:endnoteRef/>
      </w:r>
      <w:r>
        <w:t xml:space="preserve"> Theobald, Marc A., “Application Assessment Report #0608, LED Supermarket Case Lighting.” </w:t>
      </w:r>
      <w:r>
        <w:rPr>
          <w:i/>
        </w:rPr>
        <w:t>LED Supermarket ET Study Final.doc.</w:t>
      </w:r>
      <w:r>
        <w:t xml:space="preserve"> PG&amp;E and EMCOR Energy Services. January 2007. p. 7-1. </w:t>
      </w:r>
      <w:hyperlink r:id="rId3" w:history="1">
        <w:r w:rsidRPr="00DB42DC">
          <w:rPr>
            <w:rStyle w:val="Hyperlink"/>
          </w:rPr>
          <w:t>http://www.etcc-ca.com/images/stories/pdf/ETCC_Report_204.pdf</w:t>
        </w:r>
      </w:hyperlink>
      <w:r>
        <w:t xml:space="preserve"> </w:t>
      </w:r>
    </w:p>
    <w:p w:rsidR="00777F66" w:rsidRDefault="00777F66" w:rsidP="0017046E">
      <w:pPr>
        <w:pStyle w:val="EndnoteText"/>
      </w:pPr>
    </w:p>
  </w:endnote>
  <w:endnote w:id="4">
    <w:p w:rsidR="00777F66" w:rsidRDefault="00777F66">
      <w:pPr>
        <w:pStyle w:val="EndnoteText"/>
      </w:pPr>
      <w:r>
        <w:rPr>
          <w:rStyle w:val="EndnoteReference"/>
        </w:rPr>
        <w:endnoteRef/>
      </w:r>
      <w:r>
        <w:t xml:space="preserve"> Design Lights Consortium.  Technical Requirements Table, V3.0, Technical Requirements:  Luminaires.  </w:t>
      </w:r>
      <w:hyperlink r:id="rId4" w:history="1">
        <w:r w:rsidRPr="002E4384">
          <w:rPr>
            <w:rStyle w:val="Hyperlink"/>
          </w:rPr>
          <w:t>https://www.designlights.org/resources/file/TRT_V3_FULLTABLE_Final_9-1-15</w:t>
        </w:r>
      </w:hyperlink>
      <w:r>
        <w:t xml:space="preserve">. </w:t>
      </w:r>
    </w:p>
    <w:p w:rsidR="00777F66" w:rsidRDefault="00777F66">
      <w:pPr>
        <w:pStyle w:val="EndnoteText"/>
      </w:pPr>
    </w:p>
  </w:endnote>
  <w:endnote w:id="5">
    <w:p w:rsidR="00777F66" w:rsidRDefault="00777F66" w:rsidP="00D00565">
      <w:pPr>
        <w:pStyle w:val="EndnoteText"/>
      </w:pPr>
      <w:r>
        <w:rPr>
          <w:rStyle w:val="EndnoteReference"/>
        </w:rPr>
        <w:endnoteRef/>
      </w:r>
      <w:r>
        <w:t xml:space="preserve"> </w:t>
      </w:r>
      <w:r>
        <w:rPr>
          <w:rFonts w:cs="Arial"/>
        </w:rPr>
        <w:t xml:space="preserve">The DEER Measure Cost Data Users Guide found on </w:t>
      </w:r>
      <w:hyperlink r:id="rId5" w:history="1">
        <w:r>
          <w:rPr>
            <w:rStyle w:val="Hyperlink"/>
            <w:rFonts w:cs="Arial"/>
          </w:rPr>
          <w:t>www.deeresources.com</w:t>
        </w:r>
      </w:hyperlink>
      <w:r>
        <w:rPr>
          <w:rFonts w:cs="Arial"/>
        </w:rPr>
        <w:t xml:space="preserve"> under </w:t>
      </w:r>
      <w:r>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Pr>
          <w:rFonts w:cs="Arial"/>
          <w:lang w:val="en-GB"/>
        </w:rPr>
        <w:t xml:space="preserve"> </w:t>
      </w:r>
      <w:r>
        <w:rPr>
          <w:rFonts w:cs="Arial"/>
        </w:rPr>
        <w:t xml:space="preserve">spreadsheet </w:t>
      </w:r>
      <w:r>
        <w:rPr>
          <w:rFonts w:cs="Arial"/>
          <w:i/>
        </w:rPr>
        <w:t>SPTdata_format-V0.97.xls.</w:t>
      </w:r>
    </w:p>
  </w:endnote>
  <w:endnote w:id="6">
    <w:p w:rsidR="00777F66" w:rsidRDefault="00777F66">
      <w:pPr>
        <w:pStyle w:val="EndnoteText"/>
      </w:pPr>
      <w:r>
        <w:rPr>
          <w:rStyle w:val="EndnoteReference"/>
        </w:rPr>
        <w:endnoteRef/>
      </w:r>
      <w:r>
        <w:t xml:space="preserve"> U.S. Department of Energy. </w:t>
      </w:r>
      <w:r w:rsidRPr="00327496">
        <w:rPr>
          <w:i/>
        </w:rPr>
        <w:t>Energy Conservation Program: Energy Conservation Standards and Test Procedures for General Service Fluorescent Lamps and Incandescent Reflector Lamps</w:t>
      </w:r>
      <w:r>
        <w:t xml:space="preserve">. Federal Register. Vol. 74, No. 133. Docket Number EE-2006-STD-0131. July 14, 2009.  </w:t>
      </w:r>
    </w:p>
    <w:p w:rsidR="00777F66" w:rsidRDefault="00777F66">
      <w:pPr>
        <w:pStyle w:val="EndnoteText"/>
      </w:pPr>
    </w:p>
  </w:endnote>
  <w:endnote w:id="7">
    <w:p w:rsidR="00777F66" w:rsidRDefault="00777F66" w:rsidP="00CF6FA6">
      <w:pPr>
        <w:pStyle w:val="EndnoteText"/>
      </w:pPr>
      <w:r>
        <w:rPr>
          <w:rStyle w:val="EndnoteReference"/>
        </w:rPr>
        <w:endnoteRef/>
      </w:r>
      <w:r>
        <w:t xml:space="preserve"> Application Assessment Report #0723. </w:t>
      </w:r>
      <w:r w:rsidRPr="00CF6FA6">
        <w:rPr>
          <w:i/>
        </w:rPr>
        <w:t>LED Lighting in Reach-In Freezer Cases:Retail Sector</w:t>
      </w:r>
      <w:r>
        <w:t>. PG&amp;E Emerging Technologies Program, 2008.</w:t>
      </w:r>
      <w:r w:rsidRPr="003071BF">
        <w:t xml:space="preserve"> </w:t>
      </w:r>
      <w:hyperlink r:id="rId6" w:history="1">
        <w:r>
          <w:rPr>
            <w:rStyle w:val="Hyperlink"/>
          </w:rPr>
          <w:t>http://www.etcc-ca.com/images/stories/ledfreezercasestudy1.pdf</w:t>
        </w:r>
      </w:hyperlink>
    </w:p>
    <w:p w:rsidR="00777F66" w:rsidRDefault="00777F66">
      <w:pPr>
        <w:pStyle w:val="EndnoteText"/>
      </w:pPr>
    </w:p>
  </w:endnote>
  <w:endnote w:id="8">
    <w:p w:rsidR="00777F66" w:rsidRDefault="00777F66">
      <w:pPr>
        <w:pStyle w:val="EndnoteText"/>
      </w:pPr>
      <w:r>
        <w:rPr>
          <w:rStyle w:val="EndnoteReference"/>
        </w:rPr>
        <w:endnoteRef/>
      </w:r>
      <w:r>
        <w:t xml:space="preserve"> Application Assessment Report #0722. </w:t>
      </w:r>
      <w:r w:rsidRPr="007518AC">
        <w:rPr>
          <w:i/>
        </w:rPr>
        <w:t>LED Refrigerated Case Lighting, Costco, Northern California</w:t>
      </w:r>
      <w:r>
        <w:t xml:space="preserve">. PG&amp;E Emerging Technologies Program. </w:t>
      </w:r>
      <w:hyperlink r:id="rId7" w:history="1">
        <w:r w:rsidRPr="00DB42DC">
          <w:rPr>
            <w:rStyle w:val="Hyperlink"/>
          </w:rPr>
          <w:t>http://www.etcc-ca.com/images/stories/pdf/ETCC_Report_469.pdf</w:t>
        </w:r>
      </w:hyperlink>
      <w:r>
        <w:t xml:space="preserve"> </w:t>
      </w:r>
    </w:p>
    <w:p w:rsidR="00777F66" w:rsidRDefault="00777F66">
      <w:pPr>
        <w:pStyle w:val="EndnoteText"/>
      </w:pPr>
    </w:p>
  </w:endnote>
  <w:endnote w:id="9">
    <w:p w:rsidR="00777F66" w:rsidRDefault="00777F66">
      <w:pPr>
        <w:pStyle w:val="EndnoteText"/>
      </w:pPr>
      <w:r>
        <w:rPr>
          <w:rStyle w:val="EndnoteReference"/>
        </w:rPr>
        <w:endnoteRef/>
      </w:r>
      <w:r>
        <w:t xml:space="preserve"> Statewide Customized Offering Manual.  Appendix B: Table of Standard Fixture Wattages.  January 1, 2013-2014. &lt;</w:t>
      </w:r>
      <w:r w:rsidRPr="00777F66">
        <w:t>http://www.aesc-inc.com/download/spc/2013SPCDocs/PGE/App%20B%20Standard%20Fixture%20Watts.pdf</w:t>
      </w:r>
      <w:r>
        <w:t>&gt;</w:t>
      </w:r>
    </w:p>
  </w:endnote>
  <w:endnote w:id="10">
    <w:p w:rsidR="00777F66" w:rsidRDefault="00777F66">
      <w:pPr>
        <w:pStyle w:val="EndnoteText"/>
      </w:pPr>
    </w:p>
    <w:p w:rsidR="00777F66" w:rsidRDefault="00777F66">
      <w:pPr>
        <w:pStyle w:val="EndnoteText"/>
      </w:pPr>
      <w:r>
        <w:rPr>
          <w:rStyle w:val="EndnoteReference"/>
        </w:rPr>
        <w:endnoteRef/>
      </w:r>
      <w:r>
        <w:t xml:space="preserve"> Personal Communications.  Greg Barker, Nate Dewart and Joey Lande. Outreach with PG&amp;E ERCO Program Participants. 2010-2012.</w:t>
      </w:r>
    </w:p>
    <w:p w:rsidR="00777F66" w:rsidRDefault="00777F66">
      <w:pPr>
        <w:pStyle w:val="EndnoteText"/>
      </w:pPr>
    </w:p>
  </w:endnote>
  <w:endnote w:id="11">
    <w:p w:rsidR="00777F66" w:rsidRDefault="00777F66">
      <w:pPr>
        <w:pStyle w:val="EndnoteText"/>
      </w:pPr>
      <w:r>
        <w:rPr>
          <w:rStyle w:val="EndnoteReference"/>
        </w:rPr>
        <w:endnoteRef/>
      </w:r>
      <w:r>
        <w:t xml:space="preserve"> </w:t>
      </w:r>
      <w:r w:rsidRPr="00047D18">
        <w:t>Revised DEER Measure Cost Summary (05_30_2008) Revised (06_02_2008)</w:t>
      </w:r>
      <w:r>
        <w:t xml:space="preserve">, accessed at </w:t>
      </w:r>
      <w:r w:rsidRPr="00047D18">
        <w:t>http://www.deeresources.com/deer0911planning/downloads/DEER2008_Costs_ValuesAndDocumentation_080530Rev1.zip</w:t>
      </w:r>
    </w:p>
  </w:endnote>
  <w:endnote w:id="12">
    <w:p w:rsidR="00777F66" w:rsidRDefault="00777F66" w:rsidP="00F06E4C">
      <w:pPr>
        <w:pStyle w:val="EndnoteText"/>
      </w:pPr>
    </w:p>
    <w:p w:rsidR="00777F66" w:rsidRDefault="00777F66" w:rsidP="00F06E4C">
      <w:pPr>
        <w:pStyle w:val="EndnoteText"/>
      </w:pPr>
      <w:r>
        <w:rPr>
          <w:rStyle w:val="EndnoteReference"/>
        </w:rPr>
        <w:endnoteRef/>
      </w:r>
      <w:r>
        <w:t xml:space="preserve"> </w:t>
      </w:r>
      <w:r w:rsidRPr="00047D18">
        <w:t>Revised DEER Measure Cost Summary (05_30_2008) Revised (06_02_2008)</w:t>
      </w:r>
      <w:r>
        <w:t xml:space="preserve">, accessed at </w:t>
      </w:r>
      <w:r w:rsidRPr="00047D18">
        <w:t>http://www.deeresources.com/deer0911planning/downloads/DEER2008_Costs_ValuesAndDocumentation_080530Rev1.zip</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OIIDC P+ Melior">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66" w:rsidRDefault="00777F66"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77F66" w:rsidRDefault="00777F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66" w:rsidRDefault="00777F66" w:rsidP="00D7047A">
    <w:pPr>
      <w:pStyle w:val="Footer"/>
      <w:pBdr>
        <w:top w:val="single" w:sz="4" w:space="1" w:color="auto"/>
      </w:pBdr>
      <w:tabs>
        <w:tab w:val="clear" w:pos="8640"/>
        <w:tab w:val="right" w:pos="9360"/>
      </w:tabs>
      <w:rPr>
        <w:b/>
        <w:szCs w:val="20"/>
      </w:rPr>
    </w:pPr>
    <w:r w:rsidRPr="00431602">
      <w:rPr>
        <w:b/>
        <w:szCs w:val="20"/>
      </w:rPr>
      <w:t>PGECOLTG</w:t>
    </w:r>
    <w:r>
      <w:rPr>
        <w:b/>
        <w:szCs w:val="20"/>
      </w:rPr>
      <w:t>174</w:t>
    </w:r>
    <w:r w:rsidRPr="00431602">
      <w:rPr>
        <w:b/>
        <w:szCs w:val="20"/>
      </w:rPr>
      <w:t xml:space="preserve"> </w:t>
    </w:r>
    <w:r>
      <w:rPr>
        <w:b/>
        <w:szCs w:val="20"/>
      </w:rPr>
      <w:t>LED Refrig Case Lighting</w:t>
    </w:r>
    <w:r w:rsidRPr="00431602">
      <w:rPr>
        <w:b/>
        <w:szCs w:val="20"/>
      </w:rPr>
      <w:t>, R</w:t>
    </w:r>
    <w:r>
      <w:rPr>
        <w:b/>
        <w:szCs w:val="20"/>
      </w:rPr>
      <w:t>2</w:t>
    </w:r>
    <w:r>
      <w:rPr>
        <w:b/>
        <w:szCs w:val="20"/>
      </w:rPr>
      <w:tab/>
    </w:r>
  </w:p>
  <w:p w:rsidR="00777F66" w:rsidRPr="00846195" w:rsidRDefault="00777F66" w:rsidP="00A56CCF">
    <w:pPr>
      <w:pStyle w:val="Footer"/>
      <w:framePr w:wrap="around" w:vAnchor="text" w:hAnchor="page" w:x="6046" w:y="71"/>
      <w:rPr>
        <w:rStyle w:val="PageNumber"/>
        <w:b/>
        <w:szCs w:val="20"/>
      </w:rPr>
    </w:pPr>
    <w:r w:rsidRPr="00846195">
      <w:rPr>
        <w:rStyle w:val="PageNumber"/>
        <w:b/>
        <w:szCs w:val="20"/>
      </w:rPr>
      <w:fldChar w:fldCharType="begin"/>
    </w:r>
    <w:r w:rsidRPr="00846195">
      <w:rPr>
        <w:rStyle w:val="PageNumber"/>
        <w:b/>
        <w:szCs w:val="20"/>
      </w:rPr>
      <w:instrText xml:space="preserve">PAGE  </w:instrText>
    </w:r>
    <w:r w:rsidRPr="00846195">
      <w:rPr>
        <w:rStyle w:val="PageNumber"/>
        <w:b/>
        <w:szCs w:val="20"/>
      </w:rPr>
      <w:fldChar w:fldCharType="separate"/>
    </w:r>
    <w:r w:rsidR="00350890">
      <w:rPr>
        <w:rStyle w:val="PageNumber"/>
        <w:b/>
        <w:noProof/>
        <w:szCs w:val="20"/>
      </w:rPr>
      <w:t>3</w:t>
    </w:r>
    <w:r w:rsidRPr="00846195">
      <w:rPr>
        <w:rStyle w:val="PageNumber"/>
        <w:b/>
        <w:szCs w:val="20"/>
      </w:rPr>
      <w:fldChar w:fldCharType="end"/>
    </w:r>
  </w:p>
  <w:p w:rsidR="00777F66" w:rsidRDefault="00777F66" w:rsidP="0075532A">
    <w:pPr>
      <w:pStyle w:val="Footer"/>
      <w:tabs>
        <w:tab w:val="clear" w:pos="4320"/>
        <w:tab w:val="clear" w:pos="8640"/>
        <w:tab w:val="right" w:pos="9360"/>
      </w:tabs>
      <w:rPr>
        <w:b/>
        <w:szCs w:val="20"/>
      </w:rPr>
    </w:pPr>
    <w:r>
      <w:rPr>
        <w:b/>
        <w:szCs w:val="20"/>
      </w:rPr>
      <w:t>Pacific Gas &amp; Electric Company</w:t>
    </w:r>
    <w:r>
      <w:rPr>
        <w:b/>
        <w:szCs w:val="20"/>
      </w:rPr>
      <w:tab/>
      <w:t>1/1/2016</w:t>
    </w:r>
  </w:p>
  <w:p w:rsidR="00777F66" w:rsidRPr="00597812" w:rsidRDefault="00777F66" w:rsidP="00D7047A">
    <w:pPr>
      <w:pStyle w:val="Footer"/>
      <w:rPr>
        <w:b/>
        <w:szCs w:val="20"/>
      </w:rPr>
    </w:pPr>
    <w:r w:rsidRPr="00597812">
      <w:rPr>
        <w:b/>
        <w:szCs w:val="20"/>
      </w:rPr>
      <w:fldChar w:fldCharType="begin"/>
    </w:r>
    <w:r w:rsidRPr="00597812">
      <w:rPr>
        <w:b/>
        <w:szCs w:val="20"/>
      </w:rPr>
      <w:instrText xml:space="preserve"> FILENAME   \* MERGEFORMAT </w:instrText>
    </w:r>
    <w:r w:rsidRPr="00597812">
      <w:rPr>
        <w:b/>
        <w:szCs w:val="20"/>
      </w:rPr>
      <w:fldChar w:fldCharType="separate"/>
    </w:r>
    <w:r w:rsidRPr="00597812">
      <w:rPr>
        <w:b/>
        <w:noProof/>
        <w:szCs w:val="20"/>
      </w:rPr>
      <w:t>PGECOLTG174 R2 LED Refrigeration Case Lighting.docx</w:t>
    </w:r>
    <w:r w:rsidRPr="00597812">
      <w:rPr>
        <w:b/>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66" w:rsidRPr="002E0E3F" w:rsidRDefault="00777F66" w:rsidP="00D7047A">
    <w:pPr>
      <w:pStyle w:val="Footer"/>
      <w:jc w:val="right"/>
      <w:rPr>
        <w:rFonts w:cs="Arial"/>
        <w:b/>
        <w:sz w:val="36"/>
        <w:szCs w:val="36"/>
      </w:rPr>
    </w:pPr>
    <w:r>
      <w:rPr>
        <w:rFonts w:cs="Arial"/>
        <w:b/>
        <w:sz w:val="36"/>
        <w:szCs w:val="36"/>
      </w:rPr>
      <w:t>1/1/2016</w:t>
    </w:r>
  </w:p>
  <w:p w:rsidR="00777F66" w:rsidRDefault="00777F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F66" w:rsidRDefault="00777F66">
      <w:r>
        <w:separator/>
      </w:r>
    </w:p>
  </w:footnote>
  <w:footnote w:type="continuationSeparator" w:id="0">
    <w:p w:rsidR="00777F66" w:rsidRDefault="00777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66" w:rsidRDefault="00777F66" w:rsidP="001A573F">
    <w:pPr>
      <w:pStyle w:val="Header"/>
      <w:jc w:val="right"/>
    </w:pPr>
  </w:p>
  <w:p w:rsidR="00777F66" w:rsidRDefault="00777F66"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28C"/>
    <w:multiLevelType w:val="hybridMultilevel"/>
    <w:tmpl w:val="56D6A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B25D6C"/>
    <w:multiLevelType w:val="hybridMultilevel"/>
    <w:tmpl w:val="045EC8A0"/>
    <w:lvl w:ilvl="0" w:tplc="0380B3B6">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27092F48"/>
    <w:multiLevelType w:val="hybridMultilevel"/>
    <w:tmpl w:val="ED489EB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3">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9033781"/>
    <w:multiLevelType w:val="hybridMultilevel"/>
    <w:tmpl w:val="1AD6D82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5F2731E1"/>
    <w:multiLevelType w:val="hybridMultilevel"/>
    <w:tmpl w:val="7AD47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6C2D518C"/>
    <w:multiLevelType w:val="hybridMultilevel"/>
    <w:tmpl w:val="4E18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BA4927"/>
    <w:multiLevelType w:val="hybridMultilevel"/>
    <w:tmpl w:val="452AEB5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255836"/>
    <w:multiLevelType w:val="hybridMultilevel"/>
    <w:tmpl w:val="BB16CB44"/>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77820856"/>
    <w:multiLevelType w:val="singleLevel"/>
    <w:tmpl w:val="6C78A414"/>
    <w:lvl w:ilvl="0">
      <w:start w:val="1"/>
      <w:numFmt w:val="decimal"/>
      <w:lvlText w:val="%1."/>
      <w:legacy w:legacy="1" w:legacySpace="0" w:legacyIndent="0"/>
      <w:lvlJc w:val="left"/>
    </w:lvl>
  </w:abstractNum>
  <w:abstractNum w:abstractNumId="26">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3"/>
  </w:num>
  <w:num w:numId="3">
    <w:abstractNumId w:val="6"/>
  </w:num>
  <w:num w:numId="4">
    <w:abstractNumId w:val="8"/>
  </w:num>
  <w:num w:numId="5">
    <w:abstractNumId w:val="25"/>
  </w:num>
  <w:num w:numId="6">
    <w:abstractNumId w:val="12"/>
  </w:num>
  <w:num w:numId="7">
    <w:abstractNumId w:val="7"/>
  </w:num>
  <w:num w:numId="8">
    <w:abstractNumId w:val="14"/>
  </w:num>
  <w:num w:numId="9">
    <w:abstractNumId w:val="10"/>
  </w:num>
  <w:num w:numId="10">
    <w:abstractNumId w:val="2"/>
  </w:num>
  <w:num w:numId="11">
    <w:abstractNumId w:val="18"/>
  </w:num>
  <w:num w:numId="12">
    <w:abstractNumId w:val="20"/>
  </w:num>
  <w:num w:numId="13">
    <w:abstractNumId w:val="5"/>
  </w:num>
  <w:num w:numId="14">
    <w:abstractNumId w:val="26"/>
  </w:num>
  <w:num w:numId="15">
    <w:abstractNumId w:val="15"/>
  </w:num>
  <w:num w:numId="16">
    <w:abstractNumId w:val="16"/>
  </w:num>
  <w:num w:numId="17">
    <w:abstractNumId w:val="1"/>
  </w:num>
  <w:num w:numId="18">
    <w:abstractNumId w:val="9"/>
  </w:num>
  <w:num w:numId="19">
    <w:abstractNumId w:val="23"/>
  </w:num>
  <w:num w:numId="20">
    <w:abstractNumId w:val="19"/>
  </w:num>
  <w:num w:numId="21">
    <w:abstractNumId w:val="4"/>
  </w:num>
  <w:num w:numId="22">
    <w:abstractNumId w:val="21"/>
  </w:num>
  <w:num w:numId="23">
    <w:abstractNumId w:val="24"/>
  </w:num>
  <w:num w:numId="24">
    <w:abstractNumId w:val="17"/>
  </w:num>
  <w:num w:numId="25">
    <w:abstractNumId w:val="11"/>
  </w:num>
  <w:num w:numId="26">
    <w:abstractNumId w:val="22"/>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771"/>
    <w:rsid w:val="00001E3E"/>
    <w:rsid w:val="00005E70"/>
    <w:rsid w:val="0000681A"/>
    <w:rsid w:val="0001009A"/>
    <w:rsid w:val="00012F86"/>
    <w:rsid w:val="0001315F"/>
    <w:rsid w:val="00014740"/>
    <w:rsid w:val="00014742"/>
    <w:rsid w:val="000170B5"/>
    <w:rsid w:val="00017488"/>
    <w:rsid w:val="00020C3F"/>
    <w:rsid w:val="0002118E"/>
    <w:rsid w:val="00023102"/>
    <w:rsid w:val="00023127"/>
    <w:rsid w:val="00024AA9"/>
    <w:rsid w:val="00026F78"/>
    <w:rsid w:val="000272C2"/>
    <w:rsid w:val="0003064A"/>
    <w:rsid w:val="00031BFD"/>
    <w:rsid w:val="0003253F"/>
    <w:rsid w:val="00032B63"/>
    <w:rsid w:val="000351CB"/>
    <w:rsid w:val="000374A5"/>
    <w:rsid w:val="00037FA0"/>
    <w:rsid w:val="00042C72"/>
    <w:rsid w:val="00044570"/>
    <w:rsid w:val="00047D18"/>
    <w:rsid w:val="00047F96"/>
    <w:rsid w:val="000571F6"/>
    <w:rsid w:val="0005796E"/>
    <w:rsid w:val="00057C09"/>
    <w:rsid w:val="00063FA7"/>
    <w:rsid w:val="0006490F"/>
    <w:rsid w:val="00066D5B"/>
    <w:rsid w:val="000678A2"/>
    <w:rsid w:val="00067EB5"/>
    <w:rsid w:val="000701EB"/>
    <w:rsid w:val="000719AA"/>
    <w:rsid w:val="00071F25"/>
    <w:rsid w:val="00073184"/>
    <w:rsid w:val="000749EA"/>
    <w:rsid w:val="00077161"/>
    <w:rsid w:val="00077DC4"/>
    <w:rsid w:val="000814B9"/>
    <w:rsid w:val="000817DF"/>
    <w:rsid w:val="00083FC8"/>
    <w:rsid w:val="000842B9"/>
    <w:rsid w:val="0008537D"/>
    <w:rsid w:val="00085DF5"/>
    <w:rsid w:val="00086594"/>
    <w:rsid w:val="00087378"/>
    <w:rsid w:val="00095610"/>
    <w:rsid w:val="000966CC"/>
    <w:rsid w:val="000A2FB3"/>
    <w:rsid w:val="000A4416"/>
    <w:rsid w:val="000A48F2"/>
    <w:rsid w:val="000A7AD6"/>
    <w:rsid w:val="000B0B1E"/>
    <w:rsid w:val="000B2720"/>
    <w:rsid w:val="000B71D2"/>
    <w:rsid w:val="000C0FD3"/>
    <w:rsid w:val="000C5FFA"/>
    <w:rsid w:val="000C6362"/>
    <w:rsid w:val="000D2200"/>
    <w:rsid w:val="000D41C9"/>
    <w:rsid w:val="000D47BE"/>
    <w:rsid w:val="000D5790"/>
    <w:rsid w:val="000E132D"/>
    <w:rsid w:val="000E31B5"/>
    <w:rsid w:val="000E4FFF"/>
    <w:rsid w:val="000E78B5"/>
    <w:rsid w:val="000F0069"/>
    <w:rsid w:val="000F0986"/>
    <w:rsid w:val="000F11DD"/>
    <w:rsid w:val="00102D28"/>
    <w:rsid w:val="001058F2"/>
    <w:rsid w:val="00112C86"/>
    <w:rsid w:val="00115A1C"/>
    <w:rsid w:val="00115EB1"/>
    <w:rsid w:val="0012056F"/>
    <w:rsid w:val="001212AF"/>
    <w:rsid w:val="00122112"/>
    <w:rsid w:val="001248A3"/>
    <w:rsid w:val="00124F32"/>
    <w:rsid w:val="00126483"/>
    <w:rsid w:val="00126A4E"/>
    <w:rsid w:val="00127CC8"/>
    <w:rsid w:val="0013046A"/>
    <w:rsid w:val="0013080C"/>
    <w:rsid w:val="0013087E"/>
    <w:rsid w:val="00133198"/>
    <w:rsid w:val="00133C60"/>
    <w:rsid w:val="00136D56"/>
    <w:rsid w:val="00141507"/>
    <w:rsid w:val="001416D2"/>
    <w:rsid w:val="001432BC"/>
    <w:rsid w:val="0014397B"/>
    <w:rsid w:val="0014718C"/>
    <w:rsid w:val="00150EC7"/>
    <w:rsid w:val="001514FA"/>
    <w:rsid w:val="00153516"/>
    <w:rsid w:val="00155EF5"/>
    <w:rsid w:val="00156FE6"/>
    <w:rsid w:val="00161E02"/>
    <w:rsid w:val="00167F2B"/>
    <w:rsid w:val="0017046E"/>
    <w:rsid w:val="0017179F"/>
    <w:rsid w:val="00172149"/>
    <w:rsid w:val="00173499"/>
    <w:rsid w:val="00175673"/>
    <w:rsid w:val="00176431"/>
    <w:rsid w:val="00180245"/>
    <w:rsid w:val="00181C0B"/>
    <w:rsid w:val="0018290E"/>
    <w:rsid w:val="00183B95"/>
    <w:rsid w:val="00183C8E"/>
    <w:rsid w:val="00185D6C"/>
    <w:rsid w:val="001946B1"/>
    <w:rsid w:val="00194E14"/>
    <w:rsid w:val="001965AF"/>
    <w:rsid w:val="00196D7C"/>
    <w:rsid w:val="00197A23"/>
    <w:rsid w:val="00197BED"/>
    <w:rsid w:val="001A13D5"/>
    <w:rsid w:val="001A3026"/>
    <w:rsid w:val="001A4516"/>
    <w:rsid w:val="001A550C"/>
    <w:rsid w:val="001A573F"/>
    <w:rsid w:val="001A64C6"/>
    <w:rsid w:val="001A7081"/>
    <w:rsid w:val="001A70AD"/>
    <w:rsid w:val="001A73E3"/>
    <w:rsid w:val="001B03AC"/>
    <w:rsid w:val="001B0406"/>
    <w:rsid w:val="001B238D"/>
    <w:rsid w:val="001B242B"/>
    <w:rsid w:val="001B3F6E"/>
    <w:rsid w:val="001B4ACB"/>
    <w:rsid w:val="001B5E15"/>
    <w:rsid w:val="001B5FFC"/>
    <w:rsid w:val="001B6FE7"/>
    <w:rsid w:val="001B75E6"/>
    <w:rsid w:val="001B792D"/>
    <w:rsid w:val="001C2942"/>
    <w:rsid w:val="001C3D84"/>
    <w:rsid w:val="001D11CE"/>
    <w:rsid w:val="001D16C2"/>
    <w:rsid w:val="001D22A5"/>
    <w:rsid w:val="001D268A"/>
    <w:rsid w:val="001D3313"/>
    <w:rsid w:val="001D3F48"/>
    <w:rsid w:val="001D483C"/>
    <w:rsid w:val="001D5D58"/>
    <w:rsid w:val="001E085D"/>
    <w:rsid w:val="001E1741"/>
    <w:rsid w:val="001E3AE3"/>
    <w:rsid w:val="001E4D2C"/>
    <w:rsid w:val="001E7CA0"/>
    <w:rsid w:val="001F4083"/>
    <w:rsid w:val="001F60D5"/>
    <w:rsid w:val="001F627F"/>
    <w:rsid w:val="001F64C0"/>
    <w:rsid w:val="001F7023"/>
    <w:rsid w:val="00200174"/>
    <w:rsid w:val="0020282A"/>
    <w:rsid w:val="00203F56"/>
    <w:rsid w:val="00207E06"/>
    <w:rsid w:val="00210392"/>
    <w:rsid w:val="00211BAC"/>
    <w:rsid w:val="002154B2"/>
    <w:rsid w:val="002170D6"/>
    <w:rsid w:val="002203EA"/>
    <w:rsid w:val="0022055B"/>
    <w:rsid w:val="0022067C"/>
    <w:rsid w:val="002207C3"/>
    <w:rsid w:val="002216C8"/>
    <w:rsid w:val="00223687"/>
    <w:rsid w:val="0022428B"/>
    <w:rsid w:val="002257FA"/>
    <w:rsid w:val="00230144"/>
    <w:rsid w:val="00231D53"/>
    <w:rsid w:val="00235694"/>
    <w:rsid w:val="00241C0B"/>
    <w:rsid w:val="0024233E"/>
    <w:rsid w:val="00243BAC"/>
    <w:rsid w:val="00244BD6"/>
    <w:rsid w:val="00245A56"/>
    <w:rsid w:val="002466F4"/>
    <w:rsid w:val="00251E7C"/>
    <w:rsid w:val="002522C9"/>
    <w:rsid w:val="00252352"/>
    <w:rsid w:val="00254966"/>
    <w:rsid w:val="00255067"/>
    <w:rsid w:val="0025738E"/>
    <w:rsid w:val="002628B9"/>
    <w:rsid w:val="002630B2"/>
    <w:rsid w:val="002635D8"/>
    <w:rsid w:val="00264B03"/>
    <w:rsid w:val="00265769"/>
    <w:rsid w:val="0027474D"/>
    <w:rsid w:val="00274A7E"/>
    <w:rsid w:val="00276918"/>
    <w:rsid w:val="00276ED1"/>
    <w:rsid w:val="0027792C"/>
    <w:rsid w:val="00285AF5"/>
    <w:rsid w:val="0028709C"/>
    <w:rsid w:val="002913D0"/>
    <w:rsid w:val="00291D75"/>
    <w:rsid w:val="00295B67"/>
    <w:rsid w:val="002A2C2E"/>
    <w:rsid w:val="002A4B6C"/>
    <w:rsid w:val="002B0ECF"/>
    <w:rsid w:val="002B583E"/>
    <w:rsid w:val="002B7CE7"/>
    <w:rsid w:val="002C12FA"/>
    <w:rsid w:val="002C21F9"/>
    <w:rsid w:val="002C26EB"/>
    <w:rsid w:val="002C321E"/>
    <w:rsid w:val="002C42E0"/>
    <w:rsid w:val="002C4F1C"/>
    <w:rsid w:val="002C518C"/>
    <w:rsid w:val="002C5F4B"/>
    <w:rsid w:val="002C609E"/>
    <w:rsid w:val="002C7B46"/>
    <w:rsid w:val="002C7F1F"/>
    <w:rsid w:val="002D0F51"/>
    <w:rsid w:val="002D12AC"/>
    <w:rsid w:val="002D27DC"/>
    <w:rsid w:val="002D316C"/>
    <w:rsid w:val="002D4621"/>
    <w:rsid w:val="002E0043"/>
    <w:rsid w:val="002E40A2"/>
    <w:rsid w:val="002E47B4"/>
    <w:rsid w:val="002E5671"/>
    <w:rsid w:val="002F105C"/>
    <w:rsid w:val="002F20E6"/>
    <w:rsid w:val="002F3610"/>
    <w:rsid w:val="002F3FE5"/>
    <w:rsid w:val="002F4716"/>
    <w:rsid w:val="002F4763"/>
    <w:rsid w:val="002F4E8C"/>
    <w:rsid w:val="0030114D"/>
    <w:rsid w:val="003011E0"/>
    <w:rsid w:val="00302B74"/>
    <w:rsid w:val="003032B7"/>
    <w:rsid w:val="0030390D"/>
    <w:rsid w:val="0030550A"/>
    <w:rsid w:val="003071BF"/>
    <w:rsid w:val="00311969"/>
    <w:rsid w:val="003129E8"/>
    <w:rsid w:val="00315AB7"/>
    <w:rsid w:val="003240E5"/>
    <w:rsid w:val="00324AFE"/>
    <w:rsid w:val="00324D0F"/>
    <w:rsid w:val="003259CD"/>
    <w:rsid w:val="0032657A"/>
    <w:rsid w:val="00327496"/>
    <w:rsid w:val="00333E01"/>
    <w:rsid w:val="00335017"/>
    <w:rsid w:val="00340DAD"/>
    <w:rsid w:val="003422F3"/>
    <w:rsid w:val="00345971"/>
    <w:rsid w:val="00345DE6"/>
    <w:rsid w:val="0034647B"/>
    <w:rsid w:val="00350382"/>
    <w:rsid w:val="00350841"/>
    <w:rsid w:val="00350890"/>
    <w:rsid w:val="00350891"/>
    <w:rsid w:val="0035242A"/>
    <w:rsid w:val="003525B7"/>
    <w:rsid w:val="0035340F"/>
    <w:rsid w:val="003539A7"/>
    <w:rsid w:val="00353DC2"/>
    <w:rsid w:val="003545CF"/>
    <w:rsid w:val="00357F8C"/>
    <w:rsid w:val="00360A19"/>
    <w:rsid w:val="00362067"/>
    <w:rsid w:val="0036440B"/>
    <w:rsid w:val="00364F1A"/>
    <w:rsid w:val="00365453"/>
    <w:rsid w:val="00374640"/>
    <w:rsid w:val="00375B1F"/>
    <w:rsid w:val="0037707D"/>
    <w:rsid w:val="00377407"/>
    <w:rsid w:val="00377A43"/>
    <w:rsid w:val="00381BB7"/>
    <w:rsid w:val="0038391A"/>
    <w:rsid w:val="00387CF9"/>
    <w:rsid w:val="00391D28"/>
    <w:rsid w:val="00392B5E"/>
    <w:rsid w:val="00392C05"/>
    <w:rsid w:val="00393618"/>
    <w:rsid w:val="00393D41"/>
    <w:rsid w:val="003942ED"/>
    <w:rsid w:val="00395845"/>
    <w:rsid w:val="003A1B51"/>
    <w:rsid w:val="003A4ABF"/>
    <w:rsid w:val="003A58FB"/>
    <w:rsid w:val="003A648E"/>
    <w:rsid w:val="003A653C"/>
    <w:rsid w:val="003A66D0"/>
    <w:rsid w:val="003B1D79"/>
    <w:rsid w:val="003B384E"/>
    <w:rsid w:val="003B51DE"/>
    <w:rsid w:val="003C0071"/>
    <w:rsid w:val="003C27C4"/>
    <w:rsid w:val="003C3A3C"/>
    <w:rsid w:val="003C48C5"/>
    <w:rsid w:val="003C49FC"/>
    <w:rsid w:val="003C4EBE"/>
    <w:rsid w:val="003C56C1"/>
    <w:rsid w:val="003C5980"/>
    <w:rsid w:val="003C67F7"/>
    <w:rsid w:val="003C6DFA"/>
    <w:rsid w:val="003C7989"/>
    <w:rsid w:val="003D04BC"/>
    <w:rsid w:val="003D1C30"/>
    <w:rsid w:val="003D36AD"/>
    <w:rsid w:val="003D3F36"/>
    <w:rsid w:val="003D42B9"/>
    <w:rsid w:val="003D5191"/>
    <w:rsid w:val="003D60B8"/>
    <w:rsid w:val="003E24CE"/>
    <w:rsid w:val="003E3441"/>
    <w:rsid w:val="003E34D8"/>
    <w:rsid w:val="003E3718"/>
    <w:rsid w:val="003E3941"/>
    <w:rsid w:val="003E3DD6"/>
    <w:rsid w:val="003E540D"/>
    <w:rsid w:val="003E7422"/>
    <w:rsid w:val="003E7CF9"/>
    <w:rsid w:val="003E7D3D"/>
    <w:rsid w:val="003E7E0A"/>
    <w:rsid w:val="003F0CBE"/>
    <w:rsid w:val="003F2817"/>
    <w:rsid w:val="003F3DED"/>
    <w:rsid w:val="003F4204"/>
    <w:rsid w:val="003F57BD"/>
    <w:rsid w:val="003F5B70"/>
    <w:rsid w:val="004018B3"/>
    <w:rsid w:val="0040323C"/>
    <w:rsid w:val="004033D7"/>
    <w:rsid w:val="00403FBE"/>
    <w:rsid w:val="004078BB"/>
    <w:rsid w:val="004113BF"/>
    <w:rsid w:val="004117E0"/>
    <w:rsid w:val="0041339D"/>
    <w:rsid w:val="004152E1"/>
    <w:rsid w:val="00415754"/>
    <w:rsid w:val="00415F88"/>
    <w:rsid w:val="004162E3"/>
    <w:rsid w:val="004203DD"/>
    <w:rsid w:val="00421ED8"/>
    <w:rsid w:val="0042297B"/>
    <w:rsid w:val="00422F19"/>
    <w:rsid w:val="00423677"/>
    <w:rsid w:val="00423B48"/>
    <w:rsid w:val="00424A98"/>
    <w:rsid w:val="00425FE9"/>
    <w:rsid w:val="00426765"/>
    <w:rsid w:val="00427131"/>
    <w:rsid w:val="004276DF"/>
    <w:rsid w:val="004304AE"/>
    <w:rsid w:val="00431602"/>
    <w:rsid w:val="004323E9"/>
    <w:rsid w:val="00432C65"/>
    <w:rsid w:val="004339ED"/>
    <w:rsid w:val="00433B89"/>
    <w:rsid w:val="0043466C"/>
    <w:rsid w:val="0043664B"/>
    <w:rsid w:val="00436F7E"/>
    <w:rsid w:val="00437947"/>
    <w:rsid w:val="00437C35"/>
    <w:rsid w:val="0044128D"/>
    <w:rsid w:val="004419D3"/>
    <w:rsid w:val="0044337C"/>
    <w:rsid w:val="00445790"/>
    <w:rsid w:val="004464AA"/>
    <w:rsid w:val="00450273"/>
    <w:rsid w:val="00450314"/>
    <w:rsid w:val="004509A5"/>
    <w:rsid w:val="00450FA6"/>
    <w:rsid w:val="004542D1"/>
    <w:rsid w:val="004551F3"/>
    <w:rsid w:val="00455856"/>
    <w:rsid w:val="004563F1"/>
    <w:rsid w:val="004602EC"/>
    <w:rsid w:val="0046138D"/>
    <w:rsid w:val="004617A6"/>
    <w:rsid w:val="004629A7"/>
    <w:rsid w:val="00463E0B"/>
    <w:rsid w:val="004646E4"/>
    <w:rsid w:val="00467797"/>
    <w:rsid w:val="00467FE9"/>
    <w:rsid w:val="00474025"/>
    <w:rsid w:val="00476B67"/>
    <w:rsid w:val="0048008C"/>
    <w:rsid w:val="004809C9"/>
    <w:rsid w:val="00480BAD"/>
    <w:rsid w:val="00480C7E"/>
    <w:rsid w:val="00482F4A"/>
    <w:rsid w:val="00486CF9"/>
    <w:rsid w:val="00487D95"/>
    <w:rsid w:val="00492048"/>
    <w:rsid w:val="0049581D"/>
    <w:rsid w:val="004967A2"/>
    <w:rsid w:val="00497CD3"/>
    <w:rsid w:val="004A2D46"/>
    <w:rsid w:val="004A34B3"/>
    <w:rsid w:val="004A3A35"/>
    <w:rsid w:val="004A6FCA"/>
    <w:rsid w:val="004B0F48"/>
    <w:rsid w:val="004B15E5"/>
    <w:rsid w:val="004B2B9D"/>
    <w:rsid w:val="004B2CFB"/>
    <w:rsid w:val="004B4432"/>
    <w:rsid w:val="004B4489"/>
    <w:rsid w:val="004B506E"/>
    <w:rsid w:val="004C4E2A"/>
    <w:rsid w:val="004C56D1"/>
    <w:rsid w:val="004D0E10"/>
    <w:rsid w:val="004D2C76"/>
    <w:rsid w:val="004D3DAB"/>
    <w:rsid w:val="004D58D5"/>
    <w:rsid w:val="004D71AF"/>
    <w:rsid w:val="004D7301"/>
    <w:rsid w:val="004E2DA5"/>
    <w:rsid w:val="004F12E7"/>
    <w:rsid w:val="004F1DB8"/>
    <w:rsid w:val="004F3292"/>
    <w:rsid w:val="004F3A9E"/>
    <w:rsid w:val="004F3EDB"/>
    <w:rsid w:val="004F55EC"/>
    <w:rsid w:val="004F5C16"/>
    <w:rsid w:val="004F61DD"/>
    <w:rsid w:val="00502569"/>
    <w:rsid w:val="005035F8"/>
    <w:rsid w:val="00506204"/>
    <w:rsid w:val="00506D3E"/>
    <w:rsid w:val="00511171"/>
    <w:rsid w:val="005134E2"/>
    <w:rsid w:val="005136CC"/>
    <w:rsid w:val="00513858"/>
    <w:rsid w:val="00514B37"/>
    <w:rsid w:val="00514EEC"/>
    <w:rsid w:val="00521874"/>
    <w:rsid w:val="00521920"/>
    <w:rsid w:val="005246B1"/>
    <w:rsid w:val="00524D55"/>
    <w:rsid w:val="0052518C"/>
    <w:rsid w:val="00527A8C"/>
    <w:rsid w:val="00530281"/>
    <w:rsid w:val="00530B04"/>
    <w:rsid w:val="005325A5"/>
    <w:rsid w:val="00533FBA"/>
    <w:rsid w:val="0053683E"/>
    <w:rsid w:val="00537B0D"/>
    <w:rsid w:val="005403E8"/>
    <w:rsid w:val="00542990"/>
    <w:rsid w:val="00542A98"/>
    <w:rsid w:val="00542F66"/>
    <w:rsid w:val="005453C5"/>
    <w:rsid w:val="0054599C"/>
    <w:rsid w:val="00545A84"/>
    <w:rsid w:val="00547480"/>
    <w:rsid w:val="005476B4"/>
    <w:rsid w:val="00551EF3"/>
    <w:rsid w:val="00553781"/>
    <w:rsid w:val="00553DCA"/>
    <w:rsid w:val="00554084"/>
    <w:rsid w:val="00557E24"/>
    <w:rsid w:val="00560593"/>
    <w:rsid w:val="00561189"/>
    <w:rsid w:val="0056163A"/>
    <w:rsid w:val="00562217"/>
    <w:rsid w:val="00563BE5"/>
    <w:rsid w:val="00564B91"/>
    <w:rsid w:val="00567397"/>
    <w:rsid w:val="00574FBD"/>
    <w:rsid w:val="005773BB"/>
    <w:rsid w:val="00585AAA"/>
    <w:rsid w:val="00585C83"/>
    <w:rsid w:val="00586604"/>
    <w:rsid w:val="0059055F"/>
    <w:rsid w:val="00590D9D"/>
    <w:rsid w:val="0059558F"/>
    <w:rsid w:val="00597812"/>
    <w:rsid w:val="005A1F9D"/>
    <w:rsid w:val="005A33AB"/>
    <w:rsid w:val="005A3798"/>
    <w:rsid w:val="005A432D"/>
    <w:rsid w:val="005A517F"/>
    <w:rsid w:val="005A5726"/>
    <w:rsid w:val="005A67E5"/>
    <w:rsid w:val="005A6D9E"/>
    <w:rsid w:val="005A7302"/>
    <w:rsid w:val="005B36B0"/>
    <w:rsid w:val="005B5BB4"/>
    <w:rsid w:val="005C0DEB"/>
    <w:rsid w:val="005C1C4E"/>
    <w:rsid w:val="005C2844"/>
    <w:rsid w:val="005C73FB"/>
    <w:rsid w:val="005C7F3F"/>
    <w:rsid w:val="005D4792"/>
    <w:rsid w:val="005D5F18"/>
    <w:rsid w:val="005D6266"/>
    <w:rsid w:val="005E2187"/>
    <w:rsid w:val="005E29BD"/>
    <w:rsid w:val="005E30D8"/>
    <w:rsid w:val="005E4FE9"/>
    <w:rsid w:val="005E54AD"/>
    <w:rsid w:val="005E5696"/>
    <w:rsid w:val="005F19E0"/>
    <w:rsid w:val="005F4658"/>
    <w:rsid w:val="005F57B5"/>
    <w:rsid w:val="005F5A76"/>
    <w:rsid w:val="005F7AA1"/>
    <w:rsid w:val="00604FAE"/>
    <w:rsid w:val="00607605"/>
    <w:rsid w:val="0061001E"/>
    <w:rsid w:val="00610B3C"/>
    <w:rsid w:val="00611E76"/>
    <w:rsid w:val="0061269D"/>
    <w:rsid w:val="00612869"/>
    <w:rsid w:val="00612BD7"/>
    <w:rsid w:val="006132A6"/>
    <w:rsid w:val="006146EE"/>
    <w:rsid w:val="006161A0"/>
    <w:rsid w:val="00622319"/>
    <w:rsid w:val="00623394"/>
    <w:rsid w:val="0062416A"/>
    <w:rsid w:val="00624EFB"/>
    <w:rsid w:val="00625FB3"/>
    <w:rsid w:val="00626129"/>
    <w:rsid w:val="00632071"/>
    <w:rsid w:val="006320BF"/>
    <w:rsid w:val="00632A52"/>
    <w:rsid w:val="00634414"/>
    <w:rsid w:val="00636012"/>
    <w:rsid w:val="00636987"/>
    <w:rsid w:val="006403DD"/>
    <w:rsid w:val="00640BB6"/>
    <w:rsid w:val="006418C4"/>
    <w:rsid w:val="00641C73"/>
    <w:rsid w:val="00642FCD"/>
    <w:rsid w:val="006433B2"/>
    <w:rsid w:val="00650746"/>
    <w:rsid w:val="00652613"/>
    <w:rsid w:val="00652691"/>
    <w:rsid w:val="00652DD9"/>
    <w:rsid w:val="006559C8"/>
    <w:rsid w:val="00657405"/>
    <w:rsid w:val="006605C2"/>
    <w:rsid w:val="006608D4"/>
    <w:rsid w:val="00661334"/>
    <w:rsid w:val="00661864"/>
    <w:rsid w:val="00662FB5"/>
    <w:rsid w:val="00663A00"/>
    <w:rsid w:val="00664FA6"/>
    <w:rsid w:val="00665269"/>
    <w:rsid w:val="00665845"/>
    <w:rsid w:val="00665ED6"/>
    <w:rsid w:val="0066632E"/>
    <w:rsid w:val="00666B75"/>
    <w:rsid w:val="00674B3F"/>
    <w:rsid w:val="006832A4"/>
    <w:rsid w:val="006846E9"/>
    <w:rsid w:val="006872DB"/>
    <w:rsid w:val="00690F75"/>
    <w:rsid w:val="00695ED2"/>
    <w:rsid w:val="00696C2F"/>
    <w:rsid w:val="0069784E"/>
    <w:rsid w:val="006A1022"/>
    <w:rsid w:val="006A1A83"/>
    <w:rsid w:val="006A22B3"/>
    <w:rsid w:val="006A2C4B"/>
    <w:rsid w:val="006A541C"/>
    <w:rsid w:val="006A55D2"/>
    <w:rsid w:val="006B42B8"/>
    <w:rsid w:val="006B6104"/>
    <w:rsid w:val="006B6E87"/>
    <w:rsid w:val="006B763D"/>
    <w:rsid w:val="006B7EDD"/>
    <w:rsid w:val="006C1C28"/>
    <w:rsid w:val="006C5E5C"/>
    <w:rsid w:val="006D0365"/>
    <w:rsid w:val="006D037D"/>
    <w:rsid w:val="006D0AFD"/>
    <w:rsid w:val="006D2068"/>
    <w:rsid w:val="006D249D"/>
    <w:rsid w:val="006D3725"/>
    <w:rsid w:val="006D4AE1"/>
    <w:rsid w:val="006D52D8"/>
    <w:rsid w:val="006D5AAB"/>
    <w:rsid w:val="006D5B29"/>
    <w:rsid w:val="006D7A90"/>
    <w:rsid w:val="006E0111"/>
    <w:rsid w:val="006E16DE"/>
    <w:rsid w:val="006E3C13"/>
    <w:rsid w:val="006F0139"/>
    <w:rsid w:val="006F214B"/>
    <w:rsid w:val="006F28C7"/>
    <w:rsid w:val="006F2AC3"/>
    <w:rsid w:val="006F52ED"/>
    <w:rsid w:val="007001DD"/>
    <w:rsid w:val="00701B6D"/>
    <w:rsid w:val="007024A1"/>
    <w:rsid w:val="007027C1"/>
    <w:rsid w:val="0070443C"/>
    <w:rsid w:val="00706CFB"/>
    <w:rsid w:val="00711407"/>
    <w:rsid w:val="00711CE2"/>
    <w:rsid w:val="00712407"/>
    <w:rsid w:val="00712477"/>
    <w:rsid w:val="00714D64"/>
    <w:rsid w:val="00721A54"/>
    <w:rsid w:val="00721C75"/>
    <w:rsid w:val="007228DB"/>
    <w:rsid w:val="00723862"/>
    <w:rsid w:val="007243DC"/>
    <w:rsid w:val="00724B7E"/>
    <w:rsid w:val="00731859"/>
    <w:rsid w:val="00733275"/>
    <w:rsid w:val="00735A4C"/>
    <w:rsid w:val="00735CB1"/>
    <w:rsid w:val="00741F74"/>
    <w:rsid w:val="00742672"/>
    <w:rsid w:val="00742E8A"/>
    <w:rsid w:val="007431B7"/>
    <w:rsid w:val="00745482"/>
    <w:rsid w:val="00746DDC"/>
    <w:rsid w:val="00747382"/>
    <w:rsid w:val="007475AA"/>
    <w:rsid w:val="0075061C"/>
    <w:rsid w:val="007518AC"/>
    <w:rsid w:val="00754D25"/>
    <w:rsid w:val="0075532A"/>
    <w:rsid w:val="00755961"/>
    <w:rsid w:val="00756622"/>
    <w:rsid w:val="00756A18"/>
    <w:rsid w:val="00757590"/>
    <w:rsid w:val="00760FDC"/>
    <w:rsid w:val="00764085"/>
    <w:rsid w:val="007652CE"/>
    <w:rsid w:val="00765936"/>
    <w:rsid w:val="0077091B"/>
    <w:rsid w:val="00770A1E"/>
    <w:rsid w:val="0077416A"/>
    <w:rsid w:val="0077569C"/>
    <w:rsid w:val="00777F66"/>
    <w:rsid w:val="007821CF"/>
    <w:rsid w:val="007833A0"/>
    <w:rsid w:val="00783DAC"/>
    <w:rsid w:val="00784500"/>
    <w:rsid w:val="00785112"/>
    <w:rsid w:val="007866FA"/>
    <w:rsid w:val="00786700"/>
    <w:rsid w:val="007878B9"/>
    <w:rsid w:val="00791022"/>
    <w:rsid w:val="007931BC"/>
    <w:rsid w:val="00793646"/>
    <w:rsid w:val="00794E75"/>
    <w:rsid w:val="0079521E"/>
    <w:rsid w:val="00796071"/>
    <w:rsid w:val="00796D77"/>
    <w:rsid w:val="007A1510"/>
    <w:rsid w:val="007A4D97"/>
    <w:rsid w:val="007A5D2F"/>
    <w:rsid w:val="007A743C"/>
    <w:rsid w:val="007A768C"/>
    <w:rsid w:val="007A7792"/>
    <w:rsid w:val="007B00E8"/>
    <w:rsid w:val="007B2CAC"/>
    <w:rsid w:val="007B44FB"/>
    <w:rsid w:val="007B4F0C"/>
    <w:rsid w:val="007C0E38"/>
    <w:rsid w:val="007C18E3"/>
    <w:rsid w:val="007C459A"/>
    <w:rsid w:val="007C4E08"/>
    <w:rsid w:val="007C5C7F"/>
    <w:rsid w:val="007D2F4C"/>
    <w:rsid w:val="007D3DFF"/>
    <w:rsid w:val="007D3F38"/>
    <w:rsid w:val="007D453C"/>
    <w:rsid w:val="007D4DB8"/>
    <w:rsid w:val="007E2197"/>
    <w:rsid w:val="007E23FC"/>
    <w:rsid w:val="007E3304"/>
    <w:rsid w:val="007E4D1F"/>
    <w:rsid w:val="007F14BA"/>
    <w:rsid w:val="007F1E48"/>
    <w:rsid w:val="007F323D"/>
    <w:rsid w:val="007F3D79"/>
    <w:rsid w:val="007F40E3"/>
    <w:rsid w:val="007F4605"/>
    <w:rsid w:val="007F6C7D"/>
    <w:rsid w:val="008026F6"/>
    <w:rsid w:val="00802C3E"/>
    <w:rsid w:val="00803F84"/>
    <w:rsid w:val="008043AC"/>
    <w:rsid w:val="00805B61"/>
    <w:rsid w:val="00806070"/>
    <w:rsid w:val="00806EE8"/>
    <w:rsid w:val="00811D89"/>
    <w:rsid w:val="00813D52"/>
    <w:rsid w:val="00814028"/>
    <w:rsid w:val="00814500"/>
    <w:rsid w:val="00814947"/>
    <w:rsid w:val="00814D8F"/>
    <w:rsid w:val="008211DF"/>
    <w:rsid w:val="00822F77"/>
    <w:rsid w:val="00833AF7"/>
    <w:rsid w:val="00834023"/>
    <w:rsid w:val="008346D1"/>
    <w:rsid w:val="00835579"/>
    <w:rsid w:val="00836F9B"/>
    <w:rsid w:val="00842873"/>
    <w:rsid w:val="00844106"/>
    <w:rsid w:val="00844B27"/>
    <w:rsid w:val="00844D29"/>
    <w:rsid w:val="00846195"/>
    <w:rsid w:val="00846FA0"/>
    <w:rsid w:val="00847090"/>
    <w:rsid w:val="008479B6"/>
    <w:rsid w:val="008543D6"/>
    <w:rsid w:val="00855AA4"/>
    <w:rsid w:val="00856D49"/>
    <w:rsid w:val="008574FC"/>
    <w:rsid w:val="00857671"/>
    <w:rsid w:val="0086002F"/>
    <w:rsid w:val="0086032D"/>
    <w:rsid w:val="00861906"/>
    <w:rsid w:val="00861B01"/>
    <w:rsid w:val="00863F9D"/>
    <w:rsid w:val="008645F9"/>
    <w:rsid w:val="0086628A"/>
    <w:rsid w:val="00871279"/>
    <w:rsid w:val="008716A7"/>
    <w:rsid w:val="00872913"/>
    <w:rsid w:val="00873F82"/>
    <w:rsid w:val="00880C8F"/>
    <w:rsid w:val="00880CA5"/>
    <w:rsid w:val="008817B1"/>
    <w:rsid w:val="008834BB"/>
    <w:rsid w:val="008840FA"/>
    <w:rsid w:val="00884397"/>
    <w:rsid w:val="008846D2"/>
    <w:rsid w:val="0089059F"/>
    <w:rsid w:val="00890F95"/>
    <w:rsid w:val="00892131"/>
    <w:rsid w:val="0089311A"/>
    <w:rsid w:val="008946C3"/>
    <w:rsid w:val="008948E0"/>
    <w:rsid w:val="0089528C"/>
    <w:rsid w:val="00896B68"/>
    <w:rsid w:val="008A369A"/>
    <w:rsid w:val="008B034D"/>
    <w:rsid w:val="008B0BBC"/>
    <w:rsid w:val="008B13FB"/>
    <w:rsid w:val="008B4153"/>
    <w:rsid w:val="008B5356"/>
    <w:rsid w:val="008B7927"/>
    <w:rsid w:val="008C1D1C"/>
    <w:rsid w:val="008C3DE1"/>
    <w:rsid w:val="008C4770"/>
    <w:rsid w:val="008C6AD1"/>
    <w:rsid w:val="008C71B5"/>
    <w:rsid w:val="008D5263"/>
    <w:rsid w:val="008E431F"/>
    <w:rsid w:val="008E5E12"/>
    <w:rsid w:val="008F0D2A"/>
    <w:rsid w:val="008F12D4"/>
    <w:rsid w:val="008F17A0"/>
    <w:rsid w:val="008F23EF"/>
    <w:rsid w:val="008F311C"/>
    <w:rsid w:val="008F386F"/>
    <w:rsid w:val="008F48E1"/>
    <w:rsid w:val="008F5BD0"/>
    <w:rsid w:val="009003FE"/>
    <w:rsid w:val="00903C95"/>
    <w:rsid w:val="00904272"/>
    <w:rsid w:val="009046D4"/>
    <w:rsid w:val="00904793"/>
    <w:rsid w:val="009058DB"/>
    <w:rsid w:val="0091058D"/>
    <w:rsid w:val="00912E34"/>
    <w:rsid w:val="00913858"/>
    <w:rsid w:val="00913A0F"/>
    <w:rsid w:val="00914959"/>
    <w:rsid w:val="00914BBC"/>
    <w:rsid w:val="00915CE6"/>
    <w:rsid w:val="009168A1"/>
    <w:rsid w:val="00917583"/>
    <w:rsid w:val="00922061"/>
    <w:rsid w:val="00923A72"/>
    <w:rsid w:val="00924681"/>
    <w:rsid w:val="00925A21"/>
    <w:rsid w:val="0092622E"/>
    <w:rsid w:val="00926605"/>
    <w:rsid w:val="00930877"/>
    <w:rsid w:val="009314F2"/>
    <w:rsid w:val="0093312A"/>
    <w:rsid w:val="0094003D"/>
    <w:rsid w:val="009412B3"/>
    <w:rsid w:val="00942070"/>
    <w:rsid w:val="00945CB0"/>
    <w:rsid w:val="00945F96"/>
    <w:rsid w:val="0094667E"/>
    <w:rsid w:val="00951188"/>
    <w:rsid w:val="00955068"/>
    <w:rsid w:val="00955CBA"/>
    <w:rsid w:val="009568AC"/>
    <w:rsid w:val="00956A95"/>
    <w:rsid w:val="00957EE7"/>
    <w:rsid w:val="00960F2F"/>
    <w:rsid w:val="009634F6"/>
    <w:rsid w:val="00963B5E"/>
    <w:rsid w:val="00963FA0"/>
    <w:rsid w:val="009643BE"/>
    <w:rsid w:val="0096491F"/>
    <w:rsid w:val="009714E3"/>
    <w:rsid w:val="00974E95"/>
    <w:rsid w:val="00975F2D"/>
    <w:rsid w:val="009761EE"/>
    <w:rsid w:val="00976962"/>
    <w:rsid w:val="00977BF5"/>
    <w:rsid w:val="00981F74"/>
    <w:rsid w:val="0098302D"/>
    <w:rsid w:val="009875D0"/>
    <w:rsid w:val="00987608"/>
    <w:rsid w:val="009943A0"/>
    <w:rsid w:val="009953BC"/>
    <w:rsid w:val="00995EAC"/>
    <w:rsid w:val="009963D2"/>
    <w:rsid w:val="009A0568"/>
    <w:rsid w:val="009A0AF9"/>
    <w:rsid w:val="009A127E"/>
    <w:rsid w:val="009A16BE"/>
    <w:rsid w:val="009A210C"/>
    <w:rsid w:val="009A2337"/>
    <w:rsid w:val="009A2E00"/>
    <w:rsid w:val="009A355A"/>
    <w:rsid w:val="009A5CE8"/>
    <w:rsid w:val="009A7074"/>
    <w:rsid w:val="009A7B5A"/>
    <w:rsid w:val="009A7F79"/>
    <w:rsid w:val="009B0848"/>
    <w:rsid w:val="009B2BDC"/>
    <w:rsid w:val="009B5F5D"/>
    <w:rsid w:val="009B6201"/>
    <w:rsid w:val="009B7064"/>
    <w:rsid w:val="009B73BA"/>
    <w:rsid w:val="009C10D9"/>
    <w:rsid w:val="009C3AEE"/>
    <w:rsid w:val="009C3DA2"/>
    <w:rsid w:val="009C425A"/>
    <w:rsid w:val="009C4F43"/>
    <w:rsid w:val="009C5CA7"/>
    <w:rsid w:val="009C7FAF"/>
    <w:rsid w:val="009D03F8"/>
    <w:rsid w:val="009D1DF4"/>
    <w:rsid w:val="009D7A24"/>
    <w:rsid w:val="009E00E4"/>
    <w:rsid w:val="009E0D20"/>
    <w:rsid w:val="009E0F6B"/>
    <w:rsid w:val="009E175A"/>
    <w:rsid w:val="009E1DB3"/>
    <w:rsid w:val="009E2964"/>
    <w:rsid w:val="009E3EB3"/>
    <w:rsid w:val="009E412A"/>
    <w:rsid w:val="009E423C"/>
    <w:rsid w:val="009E5D18"/>
    <w:rsid w:val="009E7DCD"/>
    <w:rsid w:val="009F4B89"/>
    <w:rsid w:val="009F55F9"/>
    <w:rsid w:val="009F5CC0"/>
    <w:rsid w:val="009F6F8B"/>
    <w:rsid w:val="009F7164"/>
    <w:rsid w:val="00A00A77"/>
    <w:rsid w:val="00A01088"/>
    <w:rsid w:val="00A02F0A"/>
    <w:rsid w:val="00A06A53"/>
    <w:rsid w:val="00A06A54"/>
    <w:rsid w:val="00A105BF"/>
    <w:rsid w:val="00A1074D"/>
    <w:rsid w:val="00A11172"/>
    <w:rsid w:val="00A127DD"/>
    <w:rsid w:val="00A14E6C"/>
    <w:rsid w:val="00A167EC"/>
    <w:rsid w:val="00A16D01"/>
    <w:rsid w:val="00A172E6"/>
    <w:rsid w:val="00A17D1C"/>
    <w:rsid w:val="00A209A2"/>
    <w:rsid w:val="00A21127"/>
    <w:rsid w:val="00A24C8D"/>
    <w:rsid w:val="00A25718"/>
    <w:rsid w:val="00A26F15"/>
    <w:rsid w:val="00A277D0"/>
    <w:rsid w:val="00A30E37"/>
    <w:rsid w:val="00A34641"/>
    <w:rsid w:val="00A3494F"/>
    <w:rsid w:val="00A35CF8"/>
    <w:rsid w:val="00A360E7"/>
    <w:rsid w:val="00A400FB"/>
    <w:rsid w:val="00A4264E"/>
    <w:rsid w:val="00A42841"/>
    <w:rsid w:val="00A4420B"/>
    <w:rsid w:val="00A443D1"/>
    <w:rsid w:val="00A44AB4"/>
    <w:rsid w:val="00A45313"/>
    <w:rsid w:val="00A456B3"/>
    <w:rsid w:val="00A45C8B"/>
    <w:rsid w:val="00A47BFE"/>
    <w:rsid w:val="00A51808"/>
    <w:rsid w:val="00A51D78"/>
    <w:rsid w:val="00A51EA8"/>
    <w:rsid w:val="00A538CB"/>
    <w:rsid w:val="00A549C3"/>
    <w:rsid w:val="00A55C9D"/>
    <w:rsid w:val="00A561A8"/>
    <w:rsid w:val="00A562A6"/>
    <w:rsid w:val="00A56CCF"/>
    <w:rsid w:val="00A60011"/>
    <w:rsid w:val="00A63635"/>
    <w:rsid w:val="00A65C9E"/>
    <w:rsid w:val="00A6703C"/>
    <w:rsid w:val="00A7007B"/>
    <w:rsid w:val="00A71623"/>
    <w:rsid w:val="00A77A29"/>
    <w:rsid w:val="00A80720"/>
    <w:rsid w:val="00A84B87"/>
    <w:rsid w:val="00A84D4B"/>
    <w:rsid w:val="00A84FD0"/>
    <w:rsid w:val="00A8592D"/>
    <w:rsid w:val="00A8629D"/>
    <w:rsid w:val="00A90D08"/>
    <w:rsid w:val="00A9289E"/>
    <w:rsid w:val="00A93663"/>
    <w:rsid w:val="00A93FFF"/>
    <w:rsid w:val="00A95746"/>
    <w:rsid w:val="00A96D45"/>
    <w:rsid w:val="00A97045"/>
    <w:rsid w:val="00A973EE"/>
    <w:rsid w:val="00AA18DD"/>
    <w:rsid w:val="00AA1F91"/>
    <w:rsid w:val="00AA3687"/>
    <w:rsid w:val="00AA4A07"/>
    <w:rsid w:val="00AA5CE1"/>
    <w:rsid w:val="00AA6EBC"/>
    <w:rsid w:val="00AA7532"/>
    <w:rsid w:val="00AB184B"/>
    <w:rsid w:val="00AB2D9E"/>
    <w:rsid w:val="00AB4404"/>
    <w:rsid w:val="00AB4941"/>
    <w:rsid w:val="00AC21EE"/>
    <w:rsid w:val="00AC3B22"/>
    <w:rsid w:val="00AC4101"/>
    <w:rsid w:val="00AC43A5"/>
    <w:rsid w:val="00AC5597"/>
    <w:rsid w:val="00AC71C4"/>
    <w:rsid w:val="00AD0116"/>
    <w:rsid w:val="00AD1B42"/>
    <w:rsid w:val="00AD322C"/>
    <w:rsid w:val="00AD4B84"/>
    <w:rsid w:val="00AD5D06"/>
    <w:rsid w:val="00AE23BE"/>
    <w:rsid w:val="00AE5036"/>
    <w:rsid w:val="00AE5408"/>
    <w:rsid w:val="00AE5772"/>
    <w:rsid w:val="00AF0AC0"/>
    <w:rsid w:val="00AF3481"/>
    <w:rsid w:val="00AF4CA9"/>
    <w:rsid w:val="00AF5B52"/>
    <w:rsid w:val="00B008BF"/>
    <w:rsid w:val="00B03F79"/>
    <w:rsid w:val="00B052BA"/>
    <w:rsid w:val="00B05A80"/>
    <w:rsid w:val="00B07460"/>
    <w:rsid w:val="00B1022B"/>
    <w:rsid w:val="00B13099"/>
    <w:rsid w:val="00B16978"/>
    <w:rsid w:val="00B16BE4"/>
    <w:rsid w:val="00B17EBB"/>
    <w:rsid w:val="00B24A6F"/>
    <w:rsid w:val="00B260D9"/>
    <w:rsid w:val="00B26790"/>
    <w:rsid w:val="00B278DB"/>
    <w:rsid w:val="00B30877"/>
    <w:rsid w:val="00B30D4F"/>
    <w:rsid w:val="00B33814"/>
    <w:rsid w:val="00B3434E"/>
    <w:rsid w:val="00B351FD"/>
    <w:rsid w:val="00B35BFD"/>
    <w:rsid w:val="00B40B13"/>
    <w:rsid w:val="00B421F2"/>
    <w:rsid w:val="00B42521"/>
    <w:rsid w:val="00B42822"/>
    <w:rsid w:val="00B42C54"/>
    <w:rsid w:val="00B4395A"/>
    <w:rsid w:val="00B4553E"/>
    <w:rsid w:val="00B45901"/>
    <w:rsid w:val="00B46773"/>
    <w:rsid w:val="00B47091"/>
    <w:rsid w:val="00B47E14"/>
    <w:rsid w:val="00B51F88"/>
    <w:rsid w:val="00B54256"/>
    <w:rsid w:val="00B545F4"/>
    <w:rsid w:val="00B56303"/>
    <w:rsid w:val="00B56D7B"/>
    <w:rsid w:val="00B573CA"/>
    <w:rsid w:val="00B57599"/>
    <w:rsid w:val="00B57A54"/>
    <w:rsid w:val="00B64F62"/>
    <w:rsid w:val="00B65020"/>
    <w:rsid w:val="00B66898"/>
    <w:rsid w:val="00B71574"/>
    <w:rsid w:val="00B7164C"/>
    <w:rsid w:val="00B74ABF"/>
    <w:rsid w:val="00B807AB"/>
    <w:rsid w:val="00B80F53"/>
    <w:rsid w:val="00B82C52"/>
    <w:rsid w:val="00B82E26"/>
    <w:rsid w:val="00B850C1"/>
    <w:rsid w:val="00B87D1D"/>
    <w:rsid w:val="00B95FBC"/>
    <w:rsid w:val="00B97C44"/>
    <w:rsid w:val="00BA05AE"/>
    <w:rsid w:val="00BA22F7"/>
    <w:rsid w:val="00BA2FA3"/>
    <w:rsid w:val="00BA5032"/>
    <w:rsid w:val="00BA6418"/>
    <w:rsid w:val="00BA6833"/>
    <w:rsid w:val="00BA7D18"/>
    <w:rsid w:val="00BB3A8F"/>
    <w:rsid w:val="00BB4412"/>
    <w:rsid w:val="00BC2A83"/>
    <w:rsid w:val="00BC2CC5"/>
    <w:rsid w:val="00BC4C35"/>
    <w:rsid w:val="00BD0D15"/>
    <w:rsid w:val="00BD1F81"/>
    <w:rsid w:val="00BD5253"/>
    <w:rsid w:val="00BD5425"/>
    <w:rsid w:val="00BE2BF2"/>
    <w:rsid w:val="00BE7644"/>
    <w:rsid w:val="00BF0332"/>
    <w:rsid w:val="00BF29F7"/>
    <w:rsid w:val="00BF5FCC"/>
    <w:rsid w:val="00C069A2"/>
    <w:rsid w:val="00C069EC"/>
    <w:rsid w:val="00C16686"/>
    <w:rsid w:val="00C17416"/>
    <w:rsid w:val="00C1748F"/>
    <w:rsid w:val="00C201F2"/>
    <w:rsid w:val="00C221D5"/>
    <w:rsid w:val="00C2280A"/>
    <w:rsid w:val="00C25FB3"/>
    <w:rsid w:val="00C2652B"/>
    <w:rsid w:val="00C30598"/>
    <w:rsid w:val="00C33264"/>
    <w:rsid w:val="00C3766D"/>
    <w:rsid w:val="00C37B98"/>
    <w:rsid w:val="00C4236F"/>
    <w:rsid w:val="00C43FEC"/>
    <w:rsid w:val="00C45483"/>
    <w:rsid w:val="00C45C85"/>
    <w:rsid w:val="00C47FD7"/>
    <w:rsid w:val="00C533E6"/>
    <w:rsid w:val="00C56730"/>
    <w:rsid w:val="00C6024F"/>
    <w:rsid w:val="00C60CE3"/>
    <w:rsid w:val="00C61176"/>
    <w:rsid w:val="00C63D95"/>
    <w:rsid w:val="00C64B94"/>
    <w:rsid w:val="00C739BF"/>
    <w:rsid w:val="00C76C24"/>
    <w:rsid w:val="00C80E3F"/>
    <w:rsid w:val="00C85C21"/>
    <w:rsid w:val="00C87F64"/>
    <w:rsid w:val="00C90663"/>
    <w:rsid w:val="00C90E2B"/>
    <w:rsid w:val="00C93DCA"/>
    <w:rsid w:val="00C93E64"/>
    <w:rsid w:val="00C97374"/>
    <w:rsid w:val="00CA071B"/>
    <w:rsid w:val="00CA5466"/>
    <w:rsid w:val="00CA734B"/>
    <w:rsid w:val="00CA7EB7"/>
    <w:rsid w:val="00CB0475"/>
    <w:rsid w:val="00CB1EC5"/>
    <w:rsid w:val="00CB2C4F"/>
    <w:rsid w:val="00CB3583"/>
    <w:rsid w:val="00CB4540"/>
    <w:rsid w:val="00CB6A8C"/>
    <w:rsid w:val="00CB6E28"/>
    <w:rsid w:val="00CB74D4"/>
    <w:rsid w:val="00CC34FF"/>
    <w:rsid w:val="00CC44F0"/>
    <w:rsid w:val="00CC6DB2"/>
    <w:rsid w:val="00CD0D11"/>
    <w:rsid w:val="00CD0E5B"/>
    <w:rsid w:val="00CD0FE9"/>
    <w:rsid w:val="00CD396E"/>
    <w:rsid w:val="00CD5104"/>
    <w:rsid w:val="00CD6046"/>
    <w:rsid w:val="00CE06A5"/>
    <w:rsid w:val="00CE202E"/>
    <w:rsid w:val="00CE2229"/>
    <w:rsid w:val="00CE28F2"/>
    <w:rsid w:val="00CE2E81"/>
    <w:rsid w:val="00CE374E"/>
    <w:rsid w:val="00CE475A"/>
    <w:rsid w:val="00CE5B6A"/>
    <w:rsid w:val="00CE6ADC"/>
    <w:rsid w:val="00CF0534"/>
    <w:rsid w:val="00CF3FF0"/>
    <w:rsid w:val="00CF41AF"/>
    <w:rsid w:val="00CF4567"/>
    <w:rsid w:val="00CF53AB"/>
    <w:rsid w:val="00CF6815"/>
    <w:rsid w:val="00CF6FA6"/>
    <w:rsid w:val="00D00565"/>
    <w:rsid w:val="00D00860"/>
    <w:rsid w:val="00D02719"/>
    <w:rsid w:val="00D04520"/>
    <w:rsid w:val="00D04D3D"/>
    <w:rsid w:val="00D11B02"/>
    <w:rsid w:val="00D1202C"/>
    <w:rsid w:val="00D12617"/>
    <w:rsid w:val="00D13AB3"/>
    <w:rsid w:val="00D140EF"/>
    <w:rsid w:val="00D16DDF"/>
    <w:rsid w:val="00D16E24"/>
    <w:rsid w:val="00D171B6"/>
    <w:rsid w:val="00D20486"/>
    <w:rsid w:val="00D228D8"/>
    <w:rsid w:val="00D31439"/>
    <w:rsid w:val="00D33677"/>
    <w:rsid w:val="00D373EC"/>
    <w:rsid w:val="00D4180D"/>
    <w:rsid w:val="00D41B01"/>
    <w:rsid w:val="00D42875"/>
    <w:rsid w:val="00D42B44"/>
    <w:rsid w:val="00D44A14"/>
    <w:rsid w:val="00D47738"/>
    <w:rsid w:val="00D47D36"/>
    <w:rsid w:val="00D502EB"/>
    <w:rsid w:val="00D51A9B"/>
    <w:rsid w:val="00D51D95"/>
    <w:rsid w:val="00D532C2"/>
    <w:rsid w:val="00D53EC6"/>
    <w:rsid w:val="00D55A00"/>
    <w:rsid w:val="00D56F77"/>
    <w:rsid w:val="00D60DB3"/>
    <w:rsid w:val="00D61E9F"/>
    <w:rsid w:val="00D62CC8"/>
    <w:rsid w:val="00D63232"/>
    <w:rsid w:val="00D6402F"/>
    <w:rsid w:val="00D660B0"/>
    <w:rsid w:val="00D7047A"/>
    <w:rsid w:val="00D705EF"/>
    <w:rsid w:val="00D719E9"/>
    <w:rsid w:val="00D72225"/>
    <w:rsid w:val="00D73550"/>
    <w:rsid w:val="00D739E6"/>
    <w:rsid w:val="00D838F7"/>
    <w:rsid w:val="00D8479E"/>
    <w:rsid w:val="00D84AD8"/>
    <w:rsid w:val="00D85AF8"/>
    <w:rsid w:val="00D868F1"/>
    <w:rsid w:val="00D87EFF"/>
    <w:rsid w:val="00D9059D"/>
    <w:rsid w:val="00D90F47"/>
    <w:rsid w:val="00D91AE6"/>
    <w:rsid w:val="00D9350B"/>
    <w:rsid w:val="00D937E6"/>
    <w:rsid w:val="00D941E0"/>
    <w:rsid w:val="00D95840"/>
    <w:rsid w:val="00D96448"/>
    <w:rsid w:val="00DA0D90"/>
    <w:rsid w:val="00DA1603"/>
    <w:rsid w:val="00DA3C9A"/>
    <w:rsid w:val="00DA554C"/>
    <w:rsid w:val="00DA5980"/>
    <w:rsid w:val="00DA5F07"/>
    <w:rsid w:val="00DA6196"/>
    <w:rsid w:val="00DA6784"/>
    <w:rsid w:val="00DA7C0E"/>
    <w:rsid w:val="00DB2668"/>
    <w:rsid w:val="00DB42FB"/>
    <w:rsid w:val="00DB4D29"/>
    <w:rsid w:val="00DB7A98"/>
    <w:rsid w:val="00DB7AEE"/>
    <w:rsid w:val="00DC1187"/>
    <w:rsid w:val="00DC33A1"/>
    <w:rsid w:val="00DC39C4"/>
    <w:rsid w:val="00DC4568"/>
    <w:rsid w:val="00DC5019"/>
    <w:rsid w:val="00DC5523"/>
    <w:rsid w:val="00DC5E5B"/>
    <w:rsid w:val="00DC6D29"/>
    <w:rsid w:val="00DD06EE"/>
    <w:rsid w:val="00DD0910"/>
    <w:rsid w:val="00DD0941"/>
    <w:rsid w:val="00DD1C47"/>
    <w:rsid w:val="00DD3011"/>
    <w:rsid w:val="00DD439B"/>
    <w:rsid w:val="00DD43F2"/>
    <w:rsid w:val="00DD5D61"/>
    <w:rsid w:val="00DD6B5E"/>
    <w:rsid w:val="00DE0602"/>
    <w:rsid w:val="00DE4BF6"/>
    <w:rsid w:val="00DE52A5"/>
    <w:rsid w:val="00DE69D0"/>
    <w:rsid w:val="00DE7070"/>
    <w:rsid w:val="00DE77A3"/>
    <w:rsid w:val="00DF02F6"/>
    <w:rsid w:val="00DF0AA8"/>
    <w:rsid w:val="00DF21B8"/>
    <w:rsid w:val="00DF284F"/>
    <w:rsid w:val="00DF31EE"/>
    <w:rsid w:val="00DF3395"/>
    <w:rsid w:val="00DF7681"/>
    <w:rsid w:val="00E02D36"/>
    <w:rsid w:val="00E03431"/>
    <w:rsid w:val="00E04E43"/>
    <w:rsid w:val="00E05E74"/>
    <w:rsid w:val="00E1241D"/>
    <w:rsid w:val="00E149CE"/>
    <w:rsid w:val="00E1610C"/>
    <w:rsid w:val="00E16AC4"/>
    <w:rsid w:val="00E17C58"/>
    <w:rsid w:val="00E2178D"/>
    <w:rsid w:val="00E23958"/>
    <w:rsid w:val="00E23AD4"/>
    <w:rsid w:val="00E23BEC"/>
    <w:rsid w:val="00E23EC3"/>
    <w:rsid w:val="00E23F48"/>
    <w:rsid w:val="00E24E4D"/>
    <w:rsid w:val="00E25D14"/>
    <w:rsid w:val="00E25F8C"/>
    <w:rsid w:val="00E2618B"/>
    <w:rsid w:val="00E267F1"/>
    <w:rsid w:val="00E27EDD"/>
    <w:rsid w:val="00E3704F"/>
    <w:rsid w:val="00E438D8"/>
    <w:rsid w:val="00E463E2"/>
    <w:rsid w:val="00E50826"/>
    <w:rsid w:val="00E528AF"/>
    <w:rsid w:val="00E53131"/>
    <w:rsid w:val="00E54BC8"/>
    <w:rsid w:val="00E5518E"/>
    <w:rsid w:val="00E56222"/>
    <w:rsid w:val="00E566D8"/>
    <w:rsid w:val="00E57743"/>
    <w:rsid w:val="00E577C9"/>
    <w:rsid w:val="00E62DD3"/>
    <w:rsid w:val="00E634C0"/>
    <w:rsid w:val="00E66D8F"/>
    <w:rsid w:val="00E6742D"/>
    <w:rsid w:val="00E7071F"/>
    <w:rsid w:val="00E71707"/>
    <w:rsid w:val="00E71EF1"/>
    <w:rsid w:val="00E731C6"/>
    <w:rsid w:val="00E740C4"/>
    <w:rsid w:val="00E74686"/>
    <w:rsid w:val="00E74750"/>
    <w:rsid w:val="00E76686"/>
    <w:rsid w:val="00E76FE0"/>
    <w:rsid w:val="00E80520"/>
    <w:rsid w:val="00E818D4"/>
    <w:rsid w:val="00E81BD0"/>
    <w:rsid w:val="00E838F0"/>
    <w:rsid w:val="00E83C98"/>
    <w:rsid w:val="00E840FE"/>
    <w:rsid w:val="00E847DC"/>
    <w:rsid w:val="00E84DBD"/>
    <w:rsid w:val="00E873A0"/>
    <w:rsid w:val="00E90A99"/>
    <w:rsid w:val="00E9128A"/>
    <w:rsid w:val="00E91C15"/>
    <w:rsid w:val="00E92DE8"/>
    <w:rsid w:val="00E943E8"/>
    <w:rsid w:val="00E9443E"/>
    <w:rsid w:val="00E945CE"/>
    <w:rsid w:val="00E94FAF"/>
    <w:rsid w:val="00E96293"/>
    <w:rsid w:val="00E9786A"/>
    <w:rsid w:val="00E97C16"/>
    <w:rsid w:val="00EA0340"/>
    <w:rsid w:val="00EA0528"/>
    <w:rsid w:val="00EA0C10"/>
    <w:rsid w:val="00EA1B07"/>
    <w:rsid w:val="00EA347E"/>
    <w:rsid w:val="00EA4E02"/>
    <w:rsid w:val="00EA6276"/>
    <w:rsid w:val="00EB048C"/>
    <w:rsid w:val="00EB1AB1"/>
    <w:rsid w:val="00EB2C67"/>
    <w:rsid w:val="00EB367C"/>
    <w:rsid w:val="00EB43BA"/>
    <w:rsid w:val="00EB46D0"/>
    <w:rsid w:val="00EB4700"/>
    <w:rsid w:val="00EB6A7F"/>
    <w:rsid w:val="00EB7F72"/>
    <w:rsid w:val="00EC03F5"/>
    <w:rsid w:val="00EC4357"/>
    <w:rsid w:val="00EC49A4"/>
    <w:rsid w:val="00EC4EF3"/>
    <w:rsid w:val="00ED20C9"/>
    <w:rsid w:val="00ED21EE"/>
    <w:rsid w:val="00ED37E1"/>
    <w:rsid w:val="00ED3B31"/>
    <w:rsid w:val="00ED4EC4"/>
    <w:rsid w:val="00ED6C04"/>
    <w:rsid w:val="00EE4094"/>
    <w:rsid w:val="00EE4D57"/>
    <w:rsid w:val="00EE53FF"/>
    <w:rsid w:val="00EE5E83"/>
    <w:rsid w:val="00EE6954"/>
    <w:rsid w:val="00EE7092"/>
    <w:rsid w:val="00EF2F5C"/>
    <w:rsid w:val="00EF399B"/>
    <w:rsid w:val="00EF7590"/>
    <w:rsid w:val="00F0155B"/>
    <w:rsid w:val="00F024CA"/>
    <w:rsid w:val="00F0354F"/>
    <w:rsid w:val="00F06E4C"/>
    <w:rsid w:val="00F07FB6"/>
    <w:rsid w:val="00F1013F"/>
    <w:rsid w:val="00F10A99"/>
    <w:rsid w:val="00F12F93"/>
    <w:rsid w:val="00F138A2"/>
    <w:rsid w:val="00F14C80"/>
    <w:rsid w:val="00F154EB"/>
    <w:rsid w:val="00F15C75"/>
    <w:rsid w:val="00F20632"/>
    <w:rsid w:val="00F20E56"/>
    <w:rsid w:val="00F231B9"/>
    <w:rsid w:val="00F23738"/>
    <w:rsid w:val="00F2509A"/>
    <w:rsid w:val="00F30846"/>
    <w:rsid w:val="00F30CAB"/>
    <w:rsid w:val="00F31B32"/>
    <w:rsid w:val="00F32479"/>
    <w:rsid w:val="00F327DF"/>
    <w:rsid w:val="00F32B60"/>
    <w:rsid w:val="00F32FD1"/>
    <w:rsid w:val="00F33121"/>
    <w:rsid w:val="00F33769"/>
    <w:rsid w:val="00F358DA"/>
    <w:rsid w:val="00F36DEB"/>
    <w:rsid w:val="00F4043B"/>
    <w:rsid w:val="00F406FD"/>
    <w:rsid w:val="00F40D24"/>
    <w:rsid w:val="00F414D0"/>
    <w:rsid w:val="00F41ACC"/>
    <w:rsid w:val="00F43B6A"/>
    <w:rsid w:val="00F46CF5"/>
    <w:rsid w:val="00F4722B"/>
    <w:rsid w:val="00F47D9D"/>
    <w:rsid w:val="00F50558"/>
    <w:rsid w:val="00F50A8E"/>
    <w:rsid w:val="00F515D1"/>
    <w:rsid w:val="00F539B2"/>
    <w:rsid w:val="00F55847"/>
    <w:rsid w:val="00F57142"/>
    <w:rsid w:val="00F5756D"/>
    <w:rsid w:val="00F606D1"/>
    <w:rsid w:val="00F6276E"/>
    <w:rsid w:val="00F62D81"/>
    <w:rsid w:val="00F630A2"/>
    <w:rsid w:val="00F652AB"/>
    <w:rsid w:val="00F65942"/>
    <w:rsid w:val="00F67651"/>
    <w:rsid w:val="00F72289"/>
    <w:rsid w:val="00F72AA0"/>
    <w:rsid w:val="00F75379"/>
    <w:rsid w:val="00F76A40"/>
    <w:rsid w:val="00F80C07"/>
    <w:rsid w:val="00F814BB"/>
    <w:rsid w:val="00F8527F"/>
    <w:rsid w:val="00F87264"/>
    <w:rsid w:val="00F908E9"/>
    <w:rsid w:val="00F92D56"/>
    <w:rsid w:val="00F95E7F"/>
    <w:rsid w:val="00F969E7"/>
    <w:rsid w:val="00FA1B15"/>
    <w:rsid w:val="00FA52B4"/>
    <w:rsid w:val="00FA56D6"/>
    <w:rsid w:val="00FA595F"/>
    <w:rsid w:val="00FA6C24"/>
    <w:rsid w:val="00FB275E"/>
    <w:rsid w:val="00FB338F"/>
    <w:rsid w:val="00FB3EC7"/>
    <w:rsid w:val="00FB651A"/>
    <w:rsid w:val="00FC0CB3"/>
    <w:rsid w:val="00FC2999"/>
    <w:rsid w:val="00FC2B39"/>
    <w:rsid w:val="00FC5465"/>
    <w:rsid w:val="00FC5EC8"/>
    <w:rsid w:val="00FC6B85"/>
    <w:rsid w:val="00FC765F"/>
    <w:rsid w:val="00FD0D3F"/>
    <w:rsid w:val="00FD1861"/>
    <w:rsid w:val="00FD232B"/>
    <w:rsid w:val="00FD3DCC"/>
    <w:rsid w:val="00FD5375"/>
    <w:rsid w:val="00FD5B82"/>
    <w:rsid w:val="00FD61A3"/>
    <w:rsid w:val="00FD66C9"/>
    <w:rsid w:val="00FD79F6"/>
    <w:rsid w:val="00FE0371"/>
    <w:rsid w:val="00FE1258"/>
    <w:rsid w:val="00FE2025"/>
    <w:rsid w:val="00FE31D0"/>
    <w:rsid w:val="00FE3581"/>
    <w:rsid w:val="00FE7A3F"/>
    <w:rsid w:val="00FF10F6"/>
    <w:rsid w:val="00FF29E1"/>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7090"/>
    <w:rPr>
      <w:rFonts w:ascii="Arial" w:hAnsi="Arial"/>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customStyle="1" w:styleId="Default">
    <w:name w:val="Default"/>
    <w:rsid w:val="00FD232B"/>
    <w:pPr>
      <w:autoSpaceDE w:val="0"/>
      <w:autoSpaceDN w:val="0"/>
      <w:adjustRightInd w:val="0"/>
    </w:pPr>
    <w:rPr>
      <w:color w:val="000000"/>
      <w:sz w:val="24"/>
      <w:szCs w:val="24"/>
    </w:rPr>
  </w:style>
  <w:style w:type="paragraph" w:styleId="Revision">
    <w:name w:val="Revision"/>
    <w:hidden/>
    <w:uiPriority w:val="99"/>
    <w:semiHidden/>
    <w:rsid w:val="00FD232B"/>
    <w:rPr>
      <w:sz w:val="24"/>
      <w:szCs w:val="24"/>
    </w:rPr>
  </w:style>
  <w:style w:type="paragraph" w:styleId="BodyText">
    <w:name w:val="Body Text"/>
    <w:basedOn w:val="Normal"/>
    <w:link w:val="BodyTextChar"/>
    <w:rsid w:val="00A93663"/>
    <w:pPr>
      <w:spacing w:after="120"/>
    </w:pPr>
  </w:style>
  <w:style w:type="character" w:customStyle="1" w:styleId="BodyTextChar">
    <w:name w:val="Body Text Char"/>
    <w:link w:val="BodyText"/>
    <w:rsid w:val="00A93663"/>
    <w:rPr>
      <w:sz w:val="24"/>
      <w:szCs w:val="24"/>
    </w:rPr>
  </w:style>
  <w:style w:type="paragraph" w:customStyle="1" w:styleId="CM2">
    <w:name w:val="CM2"/>
    <w:basedOn w:val="Normal"/>
    <w:uiPriority w:val="99"/>
    <w:rsid w:val="001D268A"/>
    <w:pPr>
      <w:autoSpaceDE w:val="0"/>
      <w:autoSpaceDN w:val="0"/>
      <w:spacing w:line="193" w:lineRule="atLeast"/>
    </w:pPr>
    <w:rPr>
      <w:rFonts w:ascii="OIIDC P+ Melior" w:eastAsia="Calibri" w:hAnsi="OIIDC P+ Melior"/>
    </w:rPr>
  </w:style>
  <w:style w:type="paragraph" w:customStyle="1" w:styleId="CM42">
    <w:name w:val="CM42"/>
    <w:basedOn w:val="Normal"/>
    <w:uiPriority w:val="99"/>
    <w:rsid w:val="001D268A"/>
    <w:pPr>
      <w:autoSpaceDE w:val="0"/>
      <w:autoSpaceDN w:val="0"/>
      <w:spacing w:line="200" w:lineRule="atLeast"/>
    </w:pPr>
    <w:rPr>
      <w:rFonts w:ascii="OIIDC P+ Melior" w:eastAsia="Calibri" w:hAnsi="OIIDC P+ Melior"/>
    </w:rPr>
  </w:style>
  <w:style w:type="character" w:customStyle="1" w:styleId="breadcrumbs">
    <w:name w:val="breadcrumbs"/>
    <w:rsid w:val="00D00565"/>
  </w:style>
  <w:style w:type="table" w:customStyle="1" w:styleId="TableGrid1">
    <w:name w:val="Table Grid1"/>
    <w:basedOn w:val="TableNormal"/>
    <w:next w:val="TableGrid"/>
    <w:rsid w:val="006E16DE"/>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7090"/>
    <w:rPr>
      <w:rFonts w:ascii="Arial" w:hAnsi="Arial"/>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customStyle="1" w:styleId="Default">
    <w:name w:val="Default"/>
    <w:rsid w:val="00FD232B"/>
    <w:pPr>
      <w:autoSpaceDE w:val="0"/>
      <w:autoSpaceDN w:val="0"/>
      <w:adjustRightInd w:val="0"/>
    </w:pPr>
    <w:rPr>
      <w:color w:val="000000"/>
      <w:sz w:val="24"/>
      <w:szCs w:val="24"/>
    </w:rPr>
  </w:style>
  <w:style w:type="paragraph" w:styleId="Revision">
    <w:name w:val="Revision"/>
    <w:hidden/>
    <w:uiPriority w:val="99"/>
    <w:semiHidden/>
    <w:rsid w:val="00FD232B"/>
    <w:rPr>
      <w:sz w:val="24"/>
      <w:szCs w:val="24"/>
    </w:rPr>
  </w:style>
  <w:style w:type="paragraph" w:styleId="BodyText">
    <w:name w:val="Body Text"/>
    <w:basedOn w:val="Normal"/>
    <w:link w:val="BodyTextChar"/>
    <w:rsid w:val="00A93663"/>
    <w:pPr>
      <w:spacing w:after="120"/>
    </w:pPr>
  </w:style>
  <w:style w:type="character" w:customStyle="1" w:styleId="BodyTextChar">
    <w:name w:val="Body Text Char"/>
    <w:link w:val="BodyText"/>
    <w:rsid w:val="00A93663"/>
    <w:rPr>
      <w:sz w:val="24"/>
      <w:szCs w:val="24"/>
    </w:rPr>
  </w:style>
  <w:style w:type="paragraph" w:customStyle="1" w:styleId="CM2">
    <w:name w:val="CM2"/>
    <w:basedOn w:val="Normal"/>
    <w:uiPriority w:val="99"/>
    <w:rsid w:val="001D268A"/>
    <w:pPr>
      <w:autoSpaceDE w:val="0"/>
      <w:autoSpaceDN w:val="0"/>
      <w:spacing w:line="193" w:lineRule="atLeast"/>
    </w:pPr>
    <w:rPr>
      <w:rFonts w:ascii="OIIDC P+ Melior" w:eastAsia="Calibri" w:hAnsi="OIIDC P+ Melior"/>
    </w:rPr>
  </w:style>
  <w:style w:type="paragraph" w:customStyle="1" w:styleId="CM42">
    <w:name w:val="CM42"/>
    <w:basedOn w:val="Normal"/>
    <w:uiPriority w:val="99"/>
    <w:rsid w:val="001D268A"/>
    <w:pPr>
      <w:autoSpaceDE w:val="0"/>
      <w:autoSpaceDN w:val="0"/>
      <w:spacing w:line="200" w:lineRule="atLeast"/>
    </w:pPr>
    <w:rPr>
      <w:rFonts w:ascii="OIIDC P+ Melior" w:eastAsia="Calibri" w:hAnsi="OIIDC P+ Melior"/>
    </w:rPr>
  </w:style>
  <w:style w:type="character" w:customStyle="1" w:styleId="breadcrumbs">
    <w:name w:val="breadcrumbs"/>
    <w:rsid w:val="00D00565"/>
  </w:style>
  <w:style w:type="table" w:customStyle="1" w:styleId="TableGrid1">
    <w:name w:val="Table Grid1"/>
    <w:basedOn w:val="TableNormal"/>
    <w:next w:val="TableGrid"/>
    <w:rsid w:val="006E16DE"/>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7211">
      <w:bodyDiv w:val="1"/>
      <w:marLeft w:val="0"/>
      <w:marRight w:val="0"/>
      <w:marTop w:val="0"/>
      <w:marBottom w:val="0"/>
      <w:divBdr>
        <w:top w:val="none" w:sz="0" w:space="0" w:color="auto"/>
        <w:left w:val="none" w:sz="0" w:space="0" w:color="auto"/>
        <w:bottom w:val="none" w:sz="0" w:space="0" w:color="auto"/>
        <w:right w:val="none" w:sz="0" w:space="0" w:color="auto"/>
      </w:divBdr>
    </w:div>
    <w:div w:id="16584499">
      <w:bodyDiv w:val="1"/>
      <w:marLeft w:val="0"/>
      <w:marRight w:val="0"/>
      <w:marTop w:val="0"/>
      <w:marBottom w:val="0"/>
      <w:divBdr>
        <w:top w:val="none" w:sz="0" w:space="0" w:color="auto"/>
        <w:left w:val="none" w:sz="0" w:space="0" w:color="auto"/>
        <w:bottom w:val="none" w:sz="0" w:space="0" w:color="auto"/>
        <w:right w:val="none" w:sz="0" w:space="0" w:color="auto"/>
      </w:divBdr>
    </w:div>
    <w:div w:id="77411869">
      <w:bodyDiv w:val="1"/>
      <w:marLeft w:val="0"/>
      <w:marRight w:val="0"/>
      <w:marTop w:val="0"/>
      <w:marBottom w:val="0"/>
      <w:divBdr>
        <w:top w:val="none" w:sz="0" w:space="0" w:color="auto"/>
        <w:left w:val="none" w:sz="0" w:space="0" w:color="auto"/>
        <w:bottom w:val="none" w:sz="0" w:space="0" w:color="auto"/>
        <w:right w:val="none" w:sz="0" w:space="0" w:color="auto"/>
      </w:divBdr>
    </w:div>
    <w:div w:id="93600177">
      <w:bodyDiv w:val="1"/>
      <w:marLeft w:val="0"/>
      <w:marRight w:val="0"/>
      <w:marTop w:val="0"/>
      <w:marBottom w:val="0"/>
      <w:divBdr>
        <w:top w:val="none" w:sz="0" w:space="0" w:color="auto"/>
        <w:left w:val="none" w:sz="0" w:space="0" w:color="auto"/>
        <w:bottom w:val="none" w:sz="0" w:space="0" w:color="auto"/>
        <w:right w:val="none" w:sz="0" w:space="0" w:color="auto"/>
      </w:divBdr>
    </w:div>
    <w:div w:id="94599408">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01694049">
      <w:bodyDiv w:val="1"/>
      <w:marLeft w:val="0"/>
      <w:marRight w:val="0"/>
      <w:marTop w:val="0"/>
      <w:marBottom w:val="0"/>
      <w:divBdr>
        <w:top w:val="none" w:sz="0" w:space="0" w:color="auto"/>
        <w:left w:val="none" w:sz="0" w:space="0" w:color="auto"/>
        <w:bottom w:val="none" w:sz="0" w:space="0" w:color="auto"/>
        <w:right w:val="none" w:sz="0" w:space="0" w:color="auto"/>
      </w:divBdr>
    </w:div>
    <w:div w:id="382565826">
      <w:bodyDiv w:val="1"/>
      <w:marLeft w:val="0"/>
      <w:marRight w:val="0"/>
      <w:marTop w:val="0"/>
      <w:marBottom w:val="0"/>
      <w:divBdr>
        <w:top w:val="none" w:sz="0" w:space="0" w:color="auto"/>
        <w:left w:val="none" w:sz="0" w:space="0" w:color="auto"/>
        <w:bottom w:val="none" w:sz="0" w:space="0" w:color="auto"/>
        <w:right w:val="none" w:sz="0" w:space="0" w:color="auto"/>
      </w:divBdr>
    </w:div>
    <w:div w:id="383675397">
      <w:bodyDiv w:val="1"/>
      <w:marLeft w:val="0"/>
      <w:marRight w:val="0"/>
      <w:marTop w:val="0"/>
      <w:marBottom w:val="0"/>
      <w:divBdr>
        <w:top w:val="none" w:sz="0" w:space="0" w:color="auto"/>
        <w:left w:val="none" w:sz="0" w:space="0" w:color="auto"/>
        <w:bottom w:val="none" w:sz="0" w:space="0" w:color="auto"/>
        <w:right w:val="none" w:sz="0" w:space="0" w:color="auto"/>
      </w:divBdr>
    </w:div>
    <w:div w:id="401177800">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84665876">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05487018">
      <w:bodyDiv w:val="1"/>
      <w:marLeft w:val="0"/>
      <w:marRight w:val="0"/>
      <w:marTop w:val="0"/>
      <w:marBottom w:val="0"/>
      <w:divBdr>
        <w:top w:val="none" w:sz="0" w:space="0" w:color="auto"/>
        <w:left w:val="none" w:sz="0" w:space="0" w:color="auto"/>
        <w:bottom w:val="none" w:sz="0" w:space="0" w:color="auto"/>
        <w:right w:val="none" w:sz="0" w:space="0" w:color="auto"/>
      </w:divBdr>
    </w:div>
    <w:div w:id="569654543">
      <w:bodyDiv w:val="1"/>
      <w:marLeft w:val="0"/>
      <w:marRight w:val="0"/>
      <w:marTop w:val="0"/>
      <w:marBottom w:val="0"/>
      <w:divBdr>
        <w:top w:val="none" w:sz="0" w:space="0" w:color="auto"/>
        <w:left w:val="none" w:sz="0" w:space="0" w:color="auto"/>
        <w:bottom w:val="none" w:sz="0" w:space="0" w:color="auto"/>
        <w:right w:val="none" w:sz="0" w:space="0" w:color="auto"/>
      </w:divBdr>
    </w:div>
    <w:div w:id="617494168">
      <w:bodyDiv w:val="1"/>
      <w:marLeft w:val="0"/>
      <w:marRight w:val="0"/>
      <w:marTop w:val="0"/>
      <w:marBottom w:val="0"/>
      <w:divBdr>
        <w:top w:val="none" w:sz="0" w:space="0" w:color="auto"/>
        <w:left w:val="none" w:sz="0" w:space="0" w:color="auto"/>
        <w:bottom w:val="none" w:sz="0" w:space="0" w:color="auto"/>
        <w:right w:val="none" w:sz="0" w:space="0" w:color="auto"/>
      </w:divBdr>
    </w:div>
    <w:div w:id="641618257">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910307290">
      <w:bodyDiv w:val="1"/>
      <w:marLeft w:val="0"/>
      <w:marRight w:val="0"/>
      <w:marTop w:val="0"/>
      <w:marBottom w:val="0"/>
      <w:divBdr>
        <w:top w:val="none" w:sz="0" w:space="0" w:color="auto"/>
        <w:left w:val="none" w:sz="0" w:space="0" w:color="auto"/>
        <w:bottom w:val="none" w:sz="0" w:space="0" w:color="auto"/>
        <w:right w:val="none" w:sz="0" w:space="0" w:color="auto"/>
      </w:divBdr>
    </w:div>
    <w:div w:id="942106810">
      <w:bodyDiv w:val="1"/>
      <w:marLeft w:val="0"/>
      <w:marRight w:val="0"/>
      <w:marTop w:val="0"/>
      <w:marBottom w:val="0"/>
      <w:divBdr>
        <w:top w:val="none" w:sz="0" w:space="0" w:color="auto"/>
        <w:left w:val="none" w:sz="0" w:space="0" w:color="auto"/>
        <w:bottom w:val="none" w:sz="0" w:space="0" w:color="auto"/>
        <w:right w:val="none" w:sz="0" w:space="0" w:color="auto"/>
      </w:divBdr>
    </w:div>
    <w:div w:id="947204163">
      <w:bodyDiv w:val="1"/>
      <w:marLeft w:val="0"/>
      <w:marRight w:val="0"/>
      <w:marTop w:val="0"/>
      <w:marBottom w:val="0"/>
      <w:divBdr>
        <w:top w:val="none" w:sz="0" w:space="0" w:color="auto"/>
        <w:left w:val="none" w:sz="0" w:space="0" w:color="auto"/>
        <w:bottom w:val="none" w:sz="0" w:space="0" w:color="auto"/>
        <w:right w:val="none" w:sz="0" w:space="0" w:color="auto"/>
      </w:divBdr>
    </w:div>
    <w:div w:id="1100297032">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26331374">
      <w:bodyDiv w:val="1"/>
      <w:marLeft w:val="0"/>
      <w:marRight w:val="0"/>
      <w:marTop w:val="0"/>
      <w:marBottom w:val="0"/>
      <w:divBdr>
        <w:top w:val="none" w:sz="0" w:space="0" w:color="auto"/>
        <w:left w:val="none" w:sz="0" w:space="0" w:color="auto"/>
        <w:bottom w:val="none" w:sz="0" w:space="0" w:color="auto"/>
        <w:right w:val="none" w:sz="0" w:space="0" w:color="auto"/>
      </w:divBdr>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246888639">
      <w:bodyDiv w:val="1"/>
      <w:marLeft w:val="0"/>
      <w:marRight w:val="0"/>
      <w:marTop w:val="0"/>
      <w:marBottom w:val="0"/>
      <w:divBdr>
        <w:top w:val="none" w:sz="0" w:space="0" w:color="auto"/>
        <w:left w:val="none" w:sz="0" w:space="0" w:color="auto"/>
        <w:bottom w:val="none" w:sz="0" w:space="0" w:color="auto"/>
        <w:right w:val="none" w:sz="0" w:space="0" w:color="auto"/>
      </w:divBdr>
    </w:div>
    <w:div w:id="1247031755">
      <w:bodyDiv w:val="1"/>
      <w:marLeft w:val="0"/>
      <w:marRight w:val="0"/>
      <w:marTop w:val="0"/>
      <w:marBottom w:val="0"/>
      <w:divBdr>
        <w:top w:val="none" w:sz="0" w:space="0" w:color="auto"/>
        <w:left w:val="none" w:sz="0" w:space="0" w:color="auto"/>
        <w:bottom w:val="none" w:sz="0" w:space="0" w:color="auto"/>
        <w:right w:val="none" w:sz="0" w:space="0" w:color="auto"/>
      </w:divBdr>
    </w:div>
    <w:div w:id="1327443710">
      <w:bodyDiv w:val="1"/>
      <w:marLeft w:val="0"/>
      <w:marRight w:val="0"/>
      <w:marTop w:val="0"/>
      <w:marBottom w:val="0"/>
      <w:divBdr>
        <w:top w:val="none" w:sz="0" w:space="0" w:color="auto"/>
        <w:left w:val="none" w:sz="0" w:space="0" w:color="auto"/>
        <w:bottom w:val="none" w:sz="0" w:space="0" w:color="auto"/>
        <w:right w:val="none" w:sz="0" w:space="0" w:color="auto"/>
      </w:divBdr>
    </w:div>
    <w:div w:id="1329403308">
      <w:bodyDiv w:val="1"/>
      <w:marLeft w:val="0"/>
      <w:marRight w:val="0"/>
      <w:marTop w:val="0"/>
      <w:marBottom w:val="0"/>
      <w:divBdr>
        <w:top w:val="none" w:sz="0" w:space="0" w:color="auto"/>
        <w:left w:val="none" w:sz="0" w:space="0" w:color="auto"/>
        <w:bottom w:val="none" w:sz="0" w:space="0" w:color="auto"/>
        <w:right w:val="none" w:sz="0" w:space="0" w:color="auto"/>
      </w:divBdr>
    </w:div>
    <w:div w:id="1383990552">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54060062">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74971334">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84865930">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89998897">
      <w:bodyDiv w:val="1"/>
      <w:marLeft w:val="0"/>
      <w:marRight w:val="0"/>
      <w:marTop w:val="0"/>
      <w:marBottom w:val="0"/>
      <w:divBdr>
        <w:top w:val="none" w:sz="0" w:space="0" w:color="auto"/>
        <w:left w:val="none" w:sz="0" w:space="0" w:color="auto"/>
        <w:bottom w:val="none" w:sz="0" w:space="0" w:color="auto"/>
        <w:right w:val="none" w:sz="0" w:space="0" w:color="auto"/>
      </w:divBdr>
    </w:div>
    <w:div w:id="1936792005">
      <w:bodyDiv w:val="1"/>
      <w:marLeft w:val="0"/>
      <w:marRight w:val="0"/>
      <w:marTop w:val="0"/>
      <w:marBottom w:val="0"/>
      <w:divBdr>
        <w:top w:val="none" w:sz="0" w:space="0" w:color="auto"/>
        <w:left w:val="none" w:sz="0" w:space="0" w:color="auto"/>
        <w:bottom w:val="none" w:sz="0" w:space="0" w:color="auto"/>
        <w:right w:val="none" w:sz="0" w:space="0" w:color="auto"/>
      </w:divBdr>
    </w:div>
    <w:div w:id="1942757953">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deeresourc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www.etcc-ca.com/images/stories/pdf/ETCC_Report_204.pdf" TargetMode="External"/><Relationship Id="rId7" Type="http://schemas.openxmlformats.org/officeDocument/2006/relationships/hyperlink" Target="http://www.etcc-ca.com/images/stories/pdf/ETCC_Report_469.pdf" TargetMode="External"/><Relationship Id="rId2" Type="http://schemas.openxmlformats.org/officeDocument/2006/relationships/hyperlink" Target="http://www.ashrae.org" TargetMode="External"/><Relationship Id="rId1" Type="http://schemas.openxmlformats.org/officeDocument/2006/relationships/hyperlink" Target="http://apps1.eere.energy.gov/buildings/publications/pdfs/ssl/gateway_freezer-case.pdf" TargetMode="External"/><Relationship Id="rId6" Type="http://schemas.openxmlformats.org/officeDocument/2006/relationships/hyperlink" Target="http://www.etcc-ca.com/images/stories/ledfreezercasestudy1.pdf" TargetMode="External"/><Relationship Id="rId5" Type="http://schemas.openxmlformats.org/officeDocument/2006/relationships/hyperlink" Target="http://www.deeresources.com" TargetMode="External"/><Relationship Id="rId4" Type="http://schemas.openxmlformats.org/officeDocument/2006/relationships/hyperlink" Target="https://www.designlights.org/resources/file/TRT_V3_FULLTABLE_Final_9-1-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D6C8D0-BE78-4933-96BF-74D4B2786B68}"/>
</file>

<file path=customXml/itemProps2.xml><?xml version="1.0" encoding="utf-8"?>
<ds:datastoreItem xmlns:ds="http://schemas.openxmlformats.org/officeDocument/2006/customXml" ds:itemID="{B268AF78-AA7A-48E3-AA31-5993B2E87AB0}"/>
</file>

<file path=customXml/itemProps3.xml><?xml version="1.0" encoding="utf-8"?>
<ds:datastoreItem xmlns:ds="http://schemas.openxmlformats.org/officeDocument/2006/customXml" ds:itemID="{F9B9AF08-0675-419B-9665-3A6C78F918F3}"/>
</file>

<file path=customXml/itemProps4.xml><?xml version="1.0" encoding="utf-8"?>
<ds:datastoreItem xmlns:ds="http://schemas.openxmlformats.org/officeDocument/2006/customXml" ds:itemID="{D147F188-2183-454E-9F93-B6EB438959AE}"/>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20</Pages>
  <Words>6137</Words>
  <Characters>36653</Characters>
  <Application>Microsoft Office Word</Application>
  <DocSecurity>4</DocSecurity>
  <Lines>305</Lines>
  <Paragraphs>85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Microsoft</Company>
  <LinksUpToDate>false</LinksUpToDate>
  <CharactersWithSpaces>42705</CharactersWithSpaces>
  <SharedDoc>false</SharedDoc>
  <HLinks>
    <vt:vector size="246" baseType="variant">
      <vt:variant>
        <vt:i4>5832799</vt:i4>
      </vt:variant>
      <vt:variant>
        <vt:i4>198</vt:i4>
      </vt:variant>
      <vt:variant>
        <vt:i4>0</vt:i4>
      </vt:variant>
      <vt:variant>
        <vt:i4>5</vt:i4>
      </vt:variant>
      <vt:variant>
        <vt:lpwstr>http://www.deeresources.com/</vt:lpwstr>
      </vt:variant>
      <vt:variant>
        <vt:lpwstr/>
      </vt:variant>
      <vt:variant>
        <vt:i4>1114170</vt:i4>
      </vt:variant>
      <vt:variant>
        <vt:i4>191</vt:i4>
      </vt:variant>
      <vt:variant>
        <vt:i4>0</vt:i4>
      </vt:variant>
      <vt:variant>
        <vt:i4>5</vt:i4>
      </vt:variant>
      <vt:variant>
        <vt:lpwstr/>
      </vt:variant>
      <vt:variant>
        <vt:lpwstr>_Toc388599823</vt:lpwstr>
      </vt:variant>
      <vt:variant>
        <vt:i4>1114170</vt:i4>
      </vt:variant>
      <vt:variant>
        <vt:i4>185</vt:i4>
      </vt:variant>
      <vt:variant>
        <vt:i4>0</vt:i4>
      </vt:variant>
      <vt:variant>
        <vt:i4>5</vt:i4>
      </vt:variant>
      <vt:variant>
        <vt:lpwstr/>
      </vt:variant>
      <vt:variant>
        <vt:lpwstr>_Toc388599822</vt:lpwstr>
      </vt:variant>
      <vt:variant>
        <vt:i4>1114170</vt:i4>
      </vt:variant>
      <vt:variant>
        <vt:i4>179</vt:i4>
      </vt:variant>
      <vt:variant>
        <vt:i4>0</vt:i4>
      </vt:variant>
      <vt:variant>
        <vt:i4>5</vt:i4>
      </vt:variant>
      <vt:variant>
        <vt:lpwstr/>
      </vt:variant>
      <vt:variant>
        <vt:lpwstr>_Toc388599821</vt:lpwstr>
      </vt:variant>
      <vt:variant>
        <vt:i4>1114170</vt:i4>
      </vt:variant>
      <vt:variant>
        <vt:i4>173</vt:i4>
      </vt:variant>
      <vt:variant>
        <vt:i4>0</vt:i4>
      </vt:variant>
      <vt:variant>
        <vt:i4>5</vt:i4>
      </vt:variant>
      <vt:variant>
        <vt:lpwstr/>
      </vt:variant>
      <vt:variant>
        <vt:lpwstr>_Toc388599820</vt:lpwstr>
      </vt:variant>
      <vt:variant>
        <vt:i4>1179706</vt:i4>
      </vt:variant>
      <vt:variant>
        <vt:i4>164</vt:i4>
      </vt:variant>
      <vt:variant>
        <vt:i4>0</vt:i4>
      </vt:variant>
      <vt:variant>
        <vt:i4>5</vt:i4>
      </vt:variant>
      <vt:variant>
        <vt:lpwstr/>
      </vt:variant>
      <vt:variant>
        <vt:lpwstr>_Toc388599819</vt:lpwstr>
      </vt:variant>
      <vt:variant>
        <vt:i4>1179706</vt:i4>
      </vt:variant>
      <vt:variant>
        <vt:i4>158</vt:i4>
      </vt:variant>
      <vt:variant>
        <vt:i4>0</vt:i4>
      </vt:variant>
      <vt:variant>
        <vt:i4>5</vt:i4>
      </vt:variant>
      <vt:variant>
        <vt:lpwstr/>
      </vt:variant>
      <vt:variant>
        <vt:lpwstr>_Toc388599818</vt:lpwstr>
      </vt:variant>
      <vt:variant>
        <vt:i4>1179706</vt:i4>
      </vt:variant>
      <vt:variant>
        <vt:i4>152</vt:i4>
      </vt:variant>
      <vt:variant>
        <vt:i4>0</vt:i4>
      </vt:variant>
      <vt:variant>
        <vt:i4>5</vt:i4>
      </vt:variant>
      <vt:variant>
        <vt:lpwstr/>
      </vt:variant>
      <vt:variant>
        <vt:lpwstr>_Toc388599817</vt:lpwstr>
      </vt:variant>
      <vt:variant>
        <vt:i4>1179706</vt:i4>
      </vt:variant>
      <vt:variant>
        <vt:i4>146</vt:i4>
      </vt:variant>
      <vt:variant>
        <vt:i4>0</vt:i4>
      </vt:variant>
      <vt:variant>
        <vt:i4>5</vt:i4>
      </vt:variant>
      <vt:variant>
        <vt:lpwstr/>
      </vt:variant>
      <vt:variant>
        <vt:lpwstr>_Toc388599816</vt:lpwstr>
      </vt:variant>
      <vt:variant>
        <vt:i4>1179706</vt:i4>
      </vt:variant>
      <vt:variant>
        <vt:i4>140</vt:i4>
      </vt:variant>
      <vt:variant>
        <vt:i4>0</vt:i4>
      </vt:variant>
      <vt:variant>
        <vt:i4>5</vt:i4>
      </vt:variant>
      <vt:variant>
        <vt:lpwstr/>
      </vt:variant>
      <vt:variant>
        <vt:lpwstr>_Toc388599815</vt:lpwstr>
      </vt:variant>
      <vt:variant>
        <vt:i4>1179706</vt:i4>
      </vt:variant>
      <vt:variant>
        <vt:i4>134</vt:i4>
      </vt:variant>
      <vt:variant>
        <vt:i4>0</vt:i4>
      </vt:variant>
      <vt:variant>
        <vt:i4>5</vt:i4>
      </vt:variant>
      <vt:variant>
        <vt:lpwstr/>
      </vt:variant>
      <vt:variant>
        <vt:lpwstr>_Toc388599814</vt:lpwstr>
      </vt:variant>
      <vt:variant>
        <vt:i4>1179706</vt:i4>
      </vt:variant>
      <vt:variant>
        <vt:i4>128</vt:i4>
      </vt:variant>
      <vt:variant>
        <vt:i4>0</vt:i4>
      </vt:variant>
      <vt:variant>
        <vt:i4>5</vt:i4>
      </vt:variant>
      <vt:variant>
        <vt:lpwstr/>
      </vt:variant>
      <vt:variant>
        <vt:lpwstr>_Toc388599813</vt:lpwstr>
      </vt:variant>
      <vt:variant>
        <vt:i4>1179706</vt:i4>
      </vt:variant>
      <vt:variant>
        <vt:i4>122</vt:i4>
      </vt:variant>
      <vt:variant>
        <vt:i4>0</vt:i4>
      </vt:variant>
      <vt:variant>
        <vt:i4>5</vt:i4>
      </vt:variant>
      <vt:variant>
        <vt:lpwstr/>
      </vt:variant>
      <vt:variant>
        <vt:lpwstr>_Toc388599812</vt:lpwstr>
      </vt:variant>
      <vt:variant>
        <vt:i4>1179706</vt:i4>
      </vt:variant>
      <vt:variant>
        <vt:i4>116</vt:i4>
      </vt:variant>
      <vt:variant>
        <vt:i4>0</vt:i4>
      </vt:variant>
      <vt:variant>
        <vt:i4>5</vt:i4>
      </vt:variant>
      <vt:variant>
        <vt:lpwstr/>
      </vt:variant>
      <vt:variant>
        <vt:lpwstr>_Toc388599811</vt:lpwstr>
      </vt:variant>
      <vt:variant>
        <vt:i4>1179706</vt:i4>
      </vt:variant>
      <vt:variant>
        <vt:i4>110</vt:i4>
      </vt:variant>
      <vt:variant>
        <vt:i4>0</vt:i4>
      </vt:variant>
      <vt:variant>
        <vt:i4>5</vt:i4>
      </vt:variant>
      <vt:variant>
        <vt:lpwstr/>
      </vt:variant>
      <vt:variant>
        <vt:lpwstr>_Toc388599810</vt:lpwstr>
      </vt:variant>
      <vt:variant>
        <vt:i4>1245242</vt:i4>
      </vt:variant>
      <vt:variant>
        <vt:i4>104</vt:i4>
      </vt:variant>
      <vt:variant>
        <vt:i4>0</vt:i4>
      </vt:variant>
      <vt:variant>
        <vt:i4>5</vt:i4>
      </vt:variant>
      <vt:variant>
        <vt:lpwstr/>
      </vt:variant>
      <vt:variant>
        <vt:lpwstr>_Toc388599809</vt:lpwstr>
      </vt:variant>
      <vt:variant>
        <vt:i4>1245242</vt:i4>
      </vt:variant>
      <vt:variant>
        <vt:i4>98</vt:i4>
      </vt:variant>
      <vt:variant>
        <vt:i4>0</vt:i4>
      </vt:variant>
      <vt:variant>
        <vt:i4>5</vt:i4>
      </vt:variant>
      <vt:variant>
        <vt:lpwstr/>
      </vt:variant>
      <vt:variant>
        <vt:lpwstr>_Toc388599808</vt:lpwstr>
      </vt:variant>
      <vt:variant>
        <vt:i4>1245242</vt:i4>
      </vt:variant>
      <vt:variant>
        <vt:i4>92</vt:i4>
      </vt:variant>
      <vt:variant>
        <vt:i4>0</vt:i4>
      </vt:variant>
      <vt:variant>
        <vt:i4>5</vt:i4>
      </vt:variant>
      <vt:variant>
        <vt:lpwstr/>
      </vt:variant>
      <vt:variant>
        <vt:lpwstr>_Toc388599807</vt:lpwstr>
      </vt:variant>
      <vt:variant>
        <vt:i4>1245242</vt:i4>
      </vt:variant>
      <vt:variant>
        <vt:i4>86</vt:i4>
      </vt:variant>
      <vt:variant>
        <vt:i4>0</vt:i4>
      </vt:variant>
      <vt:variant>
        <vt:i4>5</vt:i4>
      </vt:variant>
      <vt:variant>
        <vt:lpwstr/>
      </vt:variant>
      <vt:variant>
        <vt:lpwstr>_Toc388599806</vt:lpwstr>
      </vt:variant>
      <vt:variant>
        <vt:i4>1245242</vt:i4>
      </vt:variant>
      <vt:variant>
        <vt:i4>80</vt:i4>
      </vt:variant>
      <vt:variant>
        <vt:i4>0</vt:i4>
      </vt:variant>
      <vt:variant>
        <vt:i4>5</vt:i4>
      </vt:variant>
      <vt:variant>
        <vt:lpwstr/>
      </vt:variant>
      <vt:variant>
        <vt:lpwstr>_Toc388599805</vt:lpwstr>
      </vt:variant>
      <vt:variant>
        <vt:i4>1245242</vt:i4>
      </vt:variant>
      <vt:variant>
        <vt:i4>74</vt:i4>
      </vt:variant>
      <vt:variant>
        <vt:i4>0</vt:i4>
      </vt:variant>
      <vt:variant>
        <vt:i4>5</vt:i4>
      </vt:variant>
      <vt:variant>
        <vt:lpwstr/>
      </vt:variant>
      <vt:variant>
        <vt:lpwstr>_Toc388599804</vt:lpwstr>
      </vt:variant>
      <vt:variant>
        <vt:i4>1245242</vt:i4>
      </vt:variant>
      <vt:variant>
        <vt:i4>68</vt:i4>
      </vt:variant>
      <vt:variant>
        <vt:i4>0</vt:i4>
      </vt:variant>
      <vt:variant>
        <vt:i4>5</vt:i4>
      </vt:variant>
      <vt:variant>
        <vt:lpwstr/>
      </vt:variant>
      <vt:variant>
        <vt:lpwstr>_Toc388599803</vt:lpwstr>
      </vt:variant>
      <vt:variant>
        <vt:i4>1245242</vt:i4>
      </vt:variant>
      <vt:variant>
        <vt:i4>62</vt:i4>
      </vt:variant>
      <vt:variant>
        <vt:i4>0</vt:i4>
      </vt:variant>
      <vt:variant>
        <vt:i4>5</vt:i4>
      </vt:variant>
      <vt:variant>
        <vt:lpwstr/>
      </vt:variant>
      <vt:variant>
        <vt:lpwstr>_Toc388599802</vt:lpwstr>
      </vt:variant>
      <vt:variant>
        <vt:i4>1245242</vt:i4>
      </vt:variant>
      <vt:variant>
        <vt:i4>56</vt:i4>
      </vt:variant>
      <vt:variant>
        <vt:i4>0</vt:i4>
      </vt:variant>
      <vt:variant>
        <vt:i4>5</vt:i4>
      </vt:variant>
      <vt:variant>
        <vt:lpwstr/>
      </vt:variant>
      <vt:variant>
        <vt:lpwstr>_Toc388599801</vt:lpwstr>
      </vt:variant>
      <vt:variant>
        <vt:i4>1245242</vt:i4>
      </vt:variant>
      <vt:variant>
        <vt:i4>50</vt:i4>
      </vt:variant>
      <vt:variant>
        <vt:i4>0</vt:i4>
      </vt:variant>
      <vt:variant>
        <vt:i4>5</vt:i4>
      </vt:variant>
      <vt:variant>
        <vt:lpwstr/>
      </vt:variant>
      <vt:variant>
        <vt:lpwstr>_Toc388599800</vt:lpwstr>
      </vt:variant>
      <vt:variant>
        <vt:i4>1703989</vt:i4>
      </vt:variant>
      <vt:variant>
        <vt:i4>44</vt:i4>
      </vt:variant>
      <vt:variant>
        <vt:i4>0</vt:i4>
      </vt:variant>
      <vt:variant>
        <vt:i4>5</vt:i4>
      </vt:variant>
      <vt:variant>
        <vt:lpwstr/>
      </vt:variant>
      <vt:variant>
        <vt:lpwstr>_Toc388599799</vt:lpwstr>
      </vt:variant>
      <vt:variant>
        <vt:i4>1703989</vt:i4>
      </vt:variant>
      <vt:variant>
        <vt:i4>38</vt:i4>
      </vt:variant>
      <vt:variant>
        <vt:i4>0</vt:i4>
      </vt:variant>
      <vt:variant>
        <vt:i4>5</vt:i4>
      </vt:variant>
      <vt:variant>
        <vt:lpwstr/>
      </vt:variant>
      <vt:variant>
        <vt:lpwstr>_Toc388599798</vt:lpwstr>
      </vt:variant>
      <vt:variant>
        <vt:i4>1703989</vt:i4>
      </vt:variant>
      <vt:variant>
        <vt:i4>32</vt:i4>
      </vt:variant>
      <vt:variant>
        <vt:i4>0</vt:i4>
      </vt:variant>
      <vt:variant>
        <vt:i4>5</vt:i4>
      </vt:variant>
      <vt:variant>
        <vt:lpwstr/>
      </vt:variant>
      <vt:variant>
        <vt:lpwstr>_Toc388599797</vt:lpwstr>
      </vt:variant>
      <vt:variant>
        <vt:i4>1703989</vt:i4>
      </vt:variant>
      <vt:variant>
        <vt:i4>26</vt:i4>
      </vt:variant>
      <vt:variant>
        <vt:i4>0</vt:i4>
      </vt:variant>
      <vt:variant>
        <vt:i4>5</vt:i4>
      </vt:variant>
      <vt:variant>
        <vt:lpwstr/>
      </vt:variant>
      <vt:variant>
        <vt:lpwstr>_Toc388599796</vt:lpwstr>
      </vt:variant>
      <vt:variant>
        <vt:i4>1703989</vt:i4>
      </vt:variant>
      <vt:variant>
        <vt:i4>20</vt:i4>
      </vt:variant>
      <vt:variant>
        <vt:i4>0</vt:i4>
      </vt:variant>
      <vt:variant>
        <vt:i4>5</vt:i4>
      </vt:variant>
      <vt:variant>
        <vt:lpwstr/>
      </vt:variant>
      <vt:variant>
        <vt:lpwstr>_Toc388599795</vt:lpwstr>
      </vt:variant>
      <vt:variant>
        <vt:i4>1703989</vt:i4>
      </vt:variant>
      <vt:variant>
        <vt:i4>14</vt:i4>
      </vt:variant>
      <vt:variant>
        <vt:i4>0</vt:i4>
      </vt:variant>
      <vt:variant>
        <vt:i4>5</vt:i4>
      </vt:variant>
      <vt:variant>
        <vt:lpwstr/>
      </vt:variant>
      <vt:variant>
        <vt:lpwstr>_Toc388599794</vt:lpwstr>
      </vt:variant>
      <vt:variant>
        <vt:i4>1703989</vt:i4>
      </vt:variant>
      <vt:variant>
        <vt:i4>8</vt:i4>
      </vt:variant>
      <vt:variant>
        <vt:i4>0</vt:i4>
      </vt:variant>
      <vt:variant>
        <vt:i4>5</vt:i4>
      </vt:variant>
      <vt:variant>
        <vt:lpwstr/>
      </vt:variant>
      <vt:variant>
        <vt:lpwstr>_Toc388599793</vt:lpwstr>
      </vt:variant>
      <vt:variant>
        <vt:i4>1703989</vt:i4>
      </vt:variant>
      <vt:variant>
        <vt:i4>2</vt:i4>
      </vt:variant>
      <vt:variant>
        <vt:i4>0</vt:i4>
      </vt:variant>
      <vt:variant>
        <vt:i4>5</vt:i4>
      </vt:variant>
      <vt:variant>
        <vt:lpwstr/>
      </vt:variant>
      <vt:variant>
        <vt:lpwstr>_Toc388599792</vt:lpwstr>
      </vt:variant>
      <vt:variant>
        <vt:i4>65624</vt:i4>
      </vt:variant>
      <vt:variant>
        <vt:i4>21</vt:i4>
      </vt:variant>
      <vt:variant>
        <vt:i4>0</vt:i4>
      </vt:variant>
      <vt:variant>
        <vt:i4>5</vt:i4>
      </vt:variant>
      <vt:variant>
        <vt:lpwstr>http://www.pge.com/mybusiness/energysavingsrebates/rebatesincentives/ief/</vt:lpwstr>
      </vt:variant>
      <vt:variant>
        <vt:lpwstr/>
      </vt:variant>
      <vt:variant>
        <vt:i4>7209081</vt:i4>
      </vt:variant>
      <vt:variant>
        <vt:i4>18</vt:i4>
      </vt:variant>
      <vt:variant>
        <vt:i4>0</vt:i4>
      </vt:variant>
      <vt:variant>
        <vt:i4>5</vt:i4>
      </vt:variant>
      <vt:variant>
        <vt:lpwstr>http://www.etcc-ca.com/images/stories/pdf/ETCC_Report_469.pdf</vt:lpwstr>
      </vt:variant>
      <vt:variant>
        <vt:lpwstr/>
      </vt:variant>
      <vt:variant>
        <vt:i4>3932266</vt:i4>
      </vt:variant>
      <vt:variant>
        <vt:i4>15</vt:i4>
      </vt:variant>
      <vt:variant>
        <vt:i4>0</vt:i4>
      </vt:variant>
      <vt:variant>
        <vt:i4>5</vt:i4>
      </vt:variant>
      <vt:variant>
        <vt:lpwstr>http://www.etcc-ca.com/images/stories/ledfreezercasestudy1.pdf</vt:lpwstr>
      </vt:variant>
      <vt:variant>
        <vt:lpwstr/>
      </vt:variant>
      <vt:variant>
        <vt:i4>1835083</vt:i4>
      </vt:variant>
      <vt:variant>
        <vt:i4>12</vt:i4>
      </vt:variant>
      <vt:variant>
        <vt:i4>0</vt:i4>
      </vt:variant>
      <vt:variant>
        <vt:i4>5</vt:i4>
      </vt:variant>
      <vt:variant>
        <vt:lpwstr>http://www.deeresources.com/DEER2011/download/DEER2011_NTGR_2012-05-16.xls</vt:lpwstr>
      </vt:variant>
      <vt:variant>
        <vt:lpwstr/>
      </vt:variant>
      <vt:variant>
        <vt:i4>5832799</vt:i4>
      </vt:variant>
      <vt:variant>
        <vt:i4>9</vt:i4>
      </vt:variant>
      <vt:variant>
        <vt:i4>0</vt:i4>
      </vt:variant>
      <vt:variant>
        <vt:i4>5</vt:i4>
      </vt:variant>
      <vt:variant>
        <vt:lpwstr>http://www.deeresources.com/</vt:lpwstr>
      </vt:variant>
      <vt:variant>
        <vt:lpwstr/>
      </vt:variant>
      <vt:variant>
        <vt:i4>6815858</vt:i4>
      </vt:variant>
      <vt:variant>
        <vt:i4>6</vt:i4>
      </vt:variant>
      <vt:variant>
        <vt:i4>0</vt:i4>
      </vt:variant>
      <vt:variant>
        <vt:i4>5</vt:i4>
      </vt:variant>
      <vt:variant>
        <vt:lpwstr>http://www.etcc-ca.com/images/stories/pdf/ETCC_Report_204.pdf</vt:lpwstr>
      </vt:variant>
      <vt:variant>
        <vt:lpwstr/>
      </vt:variant>
      <vt:variant>
        <vt:i4>3145788</vt:i4>
      </vt:variant>
      <vt:variant>
        <vt:i4>3</vt:i4>
      </vt:variant>
      <vt:variant>
        <vt:i4>0</vt:i4>
      </vt:variant>
      <vt:variant>
        <vt:i4>5</vt:i4>
      </vt:variant>
      <vt:variant>
        <vt:lpwstr>http://www.ashrae.org/</vt:lpwstr>
      </vt:variant>
      <vt:variant>
        <vt:lpwstr/>
      </vt:variant>
      <vt:variant>
        <vt:i4>4325491</vt:i4>
      </vt:variant>
      <vt:variant>
        <vt:i4>0</vt:i4>
      </vt:variant>
      <vt:variant>
        <vt:i4>0</vt:i4>
      </vt:variant>
      <vt:variant>
        <vt:i4>5</vt:i4>
      </vt:variant>
      <vt:variant>
        <vt:lpwstr>http://apps1.eere.energy.gov/buildings/publications/pdfs/ssl/gateway_freezer-case.pdf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Wan, Linda</cp:lastModifiedBy>
  <cp:revision>2</cp:revision>
  <cp:lastPrinted>2012-03-21T19:56:00Z</cp:lastPrinted>
  <dcterms:created xsi:type="dcterms:W3CDTF">2015-12-14T18:47:00Z</dcterms:created>
  <dcterms:modified xsi:type="dcterms:W3CDTF">2015-12-14T18:47:00Z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